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360"/>
      </w:pPr>
    </w:p>
    <w:p>
      <w:pPr>
        <w:spacing w:after="360"/>
      </w:pPr>
    </w:p>
    <w:p>
      <w:pPr>
        <w:spacing w:after="360"/>
      </w:pPr>
    </w:p>
    <w:p>
      <w:pPr>
        <w:spacing w:after="360"/>
      </w:pPr>
    </w:p>
    <w:p>
      <w:pPr>
        <w:spacing w:after="360"/>
        <w:jc w:val="center"/>
      </w:pPr>
      <w:r>
        <w:rPr>
          <w:rFonts w:ascii="Calibri" w:hAnsi="Calibri"/>
          <w:b/>
          <w:i w:val="0"/>
          <w:color w:val="285744"/>
          <w:sz w:val="18"/>
        </w:rPr>
        <w:t>AFFILIATE PROMOTION KIT</w:t>
      </w:r>
    </w:p>
    <w:p>
      <w:pPr>
        <w:spacing w:after="240"/>
        <w:jc w:val="center"/>
      </w:pPr>
      <w:r>
        <w:rPr>
          <w:rFonts w:ascii="Georgia" w:hAnsi="Georgia"/>
          <w:b w:val="0"/>
          <w:i w:val="0"/>
          <w:color w:val="171916"/>
          <w:sz w:val="60"/>
        </w:rPr>
        <w:t>The Product Greenlight System</w:t>
      </w:r>
    </w:p>
    <w:p>
      <w:pPr>
        <w:spacing w:after="720"/>
        <w:jc w:val="center"/>
      </w:pPr>
      <w:r>
        <w:rPr>
          <w:rFonts w:ascii="Calibri" w:hAnsi="Calibri"/>
          <w:b w:val="0"/>
          <w:i w:val="0"/>
          <w:color w:val="5D615B"/>
          <w:sz w:val="28"/>
        </w:rPr>
        <w:t>Commission structure, positioning, approved messaging, promotional swipes, ready-to-post creatives, and compliance rules.</w:t>
      </w:r>
    </w:p>
    <w:tbl>
      <w:tblPr>
        <w:tblW w:type="dxa" w:w="9360"/>
        <w:jc w:val="left"/>
        <w:tblLayout w:type="fixed"/>
        <w:tblLook w:firstColumn="1" w:firstRow="1" w:lastColumn="0" w:lastRow="0" w:noHBand="0" w:noVBand="1" w:val="04A0"/>
        <w:tblInd w:w="0" w:type="dxa"/>
      </w:tblPr>
      <w:tblGrid>
        <w:gridCol w:w="3120"/>
        <w:gridCol w:w="3120"/>
        <w:gridCol w:w="3120"/>
      </w:tblGrid>
      <w:tr>
        <w:tc>
          <w:tcPr>
            <w:tcW w:type="dxa" w:w="3120"/>
            <w:vAlign w:val="center"/>
            <w:tcMar>
              <w:top w:w="100" w:type="dxa"/>
              <w:start w:w="120" w:type="dxa"/>
              <w:bottom w:w="100" w:type="dxa"/>
              <w:end w:w="120" w:type="dxa"/>
            </w:tcMar>
            <w:shd w:fill="FAF7EF"/>
            <w:tcBorders>
              <w:top w:val="single" w:sz="6" w:color="AAA79E"/>
              <w:bottom w:val="single" w:sz="6" w:color="AAA79E"/>
            </w:tcBorders>
          </w:tcPr>
          <w:p>
            <w:pPr>
              <w:jc w:val="center"/>
            </w:pPr>
            <w:r>
              <w:rPr>
                <w:rFonts w:ascii="Calibri" w:hAnsi="Calibri"/>
                <w:b/>
                <w:i w:val="0"/>
                <w:color w:val="5D615B"/>
                <w:sz w:val="15"/>
              </w:rPr>
              <w:t>METHOD</w:t>
            </w:r>
          </w:p>
          <w:p>
            <w:pPr>
              <w:spacing w:after="0"/>
              <w:jc w:val="center"/>
            </w:pPr>
            <w:r>
              <w:rPr>
                <w:rFonts w:ascii="Calibri" w:hAnsi="Calibri"/>
                <w:b/>
                <w:i w:val="0"/>
                <w:color w:val="173B2D"/>
                <w:sz w:val="22"/>
              </w:rPr>
              <w:t>GREENLIGHT-7</w:t>
            </w:r>
          </w:p>
        </w:tc>
        <w:tc>
          <w:tcPr>
            <w:tcW w:type="dxa" w:w="3120"/>
            <w:vAlign w:val="center"/>
            <w:tcMar>
              <w:top w:w="100" w:type="dxa"/>
              <w:start w:w="120" w:type="dxa"/>
              <w:bottom w:w="100" w:type="dxa"/>
              <w:end w:w="120" w:type="dxa"/>
            </w:tcMar>
            <w:shd w:fill="FAF7EF"/>
            <w:tcBorders>
              <w:top w:val="single" w:sz="6" w:color="AAA79E"/>
              <w:bottom w:val="single" w:sz="6" w:color="AAA79E"/>
            </w:tcBorders>
          </w:tcPr>
          <w:p>
            <w:pPr>
              <w:jc w:val="center"/>
            </w:pPr>
            <w:r>
              <w:rPr>
                <w:rFonts w:ascii="Calibri" w:hAnsi="Calibri"/>
                <w:b/>
                <w:i w:val="0"/>
                <w:color w:val="5D615B"/>
                <w:sz w:val="15"/>
              </w:rPr>
              <w:t>VERSION</w:t>
            </w:r>
          </w:p>
          <w:p>
            <w:pPr>
              <w:spacing w:after="0"/>
              <w:jc w:val="center"/>
            </w:pPr>
            <w:r>
              <w:rPr>
                <w:rFonts w:ascii="Calibri" w:hAnsi="Calibri"/>
                <w:b/>
                <w:i w:val="0"/>
                <w:color w:val="173B2D"/>
                <w:sz w:val="22"/>
              </w:rPr>
              <w:t>0.2</w:t>
            </w:r>
          </w:p>
        </w:tc>
        <w:tc>
          <w:tcPr>
            <w:tcW w:type="dxa" w:w="3120"/>
            <w:vAlign w:val="center"/>
            <w:tcMar>
              <w:top w:w="100" w:type="dxa"/>
              <w:start w:w="120" w:type="dxa"/>
              <w:bottom w:w="100" w:type="dxa"/>
              <w:end w:w="120" w:type="dxa"/>
            </w:tcMar>
            <w:shd w:fill="FAF7EF"/>
            <w:tcBorders>
              <w:top w:val="single" w:sz="6" w:color="AAA79E"/>
              <w:bottom w:val="single" w:sz="6" w:color="AAA79E"/>
            </w:tcBorders>
          </w:tcPr>
          <w:p>
            <w:pPr>
              <w:jc w:val="center"/>
            </w:pPr>
            <w:r>
              <w:rPr>
                <w:rFonts w:ascii="Calibri" w:hAnsi="Calibri"/>
                <w:b/>
                <w:i w:val="0"/>
                <w:color w:val="5D615B"/>
                <w:sz w:val="15"/>
              </w:rPr>
              <w:t>EDITION</w:t>
            </w:r>
          </w:p>
          <w:p>
            <w:pPr>
              <w:spacing w:after="0"/>
              <w:jc w:val="center"/>
            </w:pPr>
            <w:r>
              <w:rPr>
                <w:rFonts w:ascii="Calibri" w:hAnsi="Calibri"/>
                <w:b/>
                <w:i w:val="0"/>
                <w:color w:val="173B2D"/>
                <w:sz w:val="22"/>
              </w:rPr>
              <w:t>V4.0</w:t>
            </w:r>
          </w:p>
        </w:tc>
      </w:tr>
    </w:tbl>
    <w:p>
      <w:pPr>
        <w:spacing w:before="840"/>
        <w:jc w:val="center"/>
      </w:pPr>
      <w:r>
        <w:rPr>
          <w:rFonts w:ascii="Calibri" w:hAnsi="Calibri"/>
          <w:b/>
          <w:i w:val="0"/>
          <w:color w:val="285744"/>
          <w:sz w:val="17"/>
        </w:rPr>
        <w:t>EVIDENCE BEFORE PRODUCTION</w:t>
      </w:r>
    </w:p>
    <w:p>
      <w:r>
        <w:br w:type="page"/>
      </w:r>
    </w:p>
    <w:p>
      <w:pPr>
        <w:spacing w:after="100"/>
      </w:pPr>
      <w:r>
        <w:rPr>
          <w:rFonts w:ascii="Calibri" w:hAnsi="Calibri"/>
          <w:b/>
          <w:i w:val="0"/>
          <w:color w:val="285744"/>
          <w:sz w:val="16"/>
        </w:rPr>
        <w:t>AFFILIATE QUICK START</w:t>
      </w:r>
    </w:p>
    <w:p>
      <w:pPr>
        <w:pStyle w:val="Heading1"/>
      </w:pPr>
      <w:r>
        <w:t>A partner-ready low-ticket decision system</w:t>
      </w:r>
    </w:p>
    <w:tbl>
      <w:tblPr>
        <w:tblW w:type="dxa" w:w="9360"/>
        <w:jc w:val="left"/>
        <w:tblLayout w:type="fixed"/>
        <w:tblLook w:firstColumn="1" w:firstRow="1" w:lastColumn="0" w:lastRow="0" w:noHBand="0" w:noVBand="1" w:val="04A0"/>
        <w:tblInd w:w="120" w:type="dxa"/>
      </w:tblPr>
      <w:tblGrid>
        <w:gridCol w:w="2200"/>
        <w:gridCol w:w="7160"/>
      </w:tblGrid>
      <w:tr>
        <w:trPr>
          <w:tblHeader w:val="true"/>
        </w:trPr>
        <w:tc>
          <w:tcPr>
            <w:tcW w:type="dxa" w:w="2200"/>
            <w:vAlign w:val="center"/>
            <w:tcMar>
              <w:top w:w="100" w:type="dxa"/>
              <w:start w:w="120" w:type="dxa"/>
              <w:bottom w:w="100" w:type="dxa"/>
              <w:end w:w="120" w:type="dxa"/>
            </w:tcMar>
            <w:shd w:fill="173B2D"/>
          </w:tcPr>
          <w:p>
            <w:pPr>
              <w:jc w:val="left"/>
            </w:pPr>
            <w:r>
              <w:rPr>
                <w:rFonts w:ascii="Calibri" w:hAnsi="Calibri"/>
                <w:b/>
                <w:i w:val="0"/>
                <w:color w:val="FFFFFF"/>
                <w:sz w:val="17"/>
              </w:rPr>
              <w:t>Field</w:t>
            </w:r>
          </w:p>
        </w:tc>
        <w:tc>
          <w:tcPr>
            <w:tcW w:type="dxa" w:w="7160"/>
            <w:vAlign w:val="center"/>
            <w:tcMar>
              <w:top w:w="100" w:type="dxa"/>
              <w:start w:w="120" w:type="dxa"/>
              <w:bottom w:w="100" w:type="dxa"/>
              <w:end w:w="120" w:type="dxa"/>
            </w:tcMar>
            <w:shd w:fill="173B2D"/>
          </w:tcPr>
          <w:p>
            <w:pPr>
              <w:jc w:val="left"/>
            </w:pPr>
            <w:r>
              <w:rPr>
                <w:rFonts w:ascii="Calibri" w:hAnsi="Calibri"/>
                <w:b/>
                <w:i w:val="0"/>
                <w:color w:val="FFFFFF"/>
                <w:sz w:val="17"/>
              </w:rPr>
              <w:t>Affiliate offer details</w:t>
            </w:r>
          </w:p>
        </w:tc>
      </w:tr>
      <w:tr>
        <w:tc>
          <w:tcPr>
            <w:tcW w:type="dxa" w:w="2200"/>
            <w:tcBorders>
              <w:bottom w:val="single" w:sz="4" w:color="AAA79E"/>
            </w:tcBorders>
          </w:tcPr>
          <w:p>
            <w:pPr>
              <w:jc w:val="left"/>
            </w:pPr>
            <w:r>
              <w:rPr>
                <w:rFonts w:ascii="Calibri" w:hAnsi="Calibri"/>
                <w:b w:val="0"/>
                <w:i w:val="0"/>
                <w:color w:val="171916"/>
                <w:sz w:val="18"/>
              </w:rPr>
              <w:t>Product</w:t>
            </w:r>
          </w:p>
        </w:tc>
        <w:tc>
          <w:tcPr>
            <w:tcW w:type="dxa" w:w="7160"/>
            <w:tcBorders>
              <w:bottom w:val="single" w:sz="4" w:color="AAA79E"/>
            </w:tcBorders>
          </w:tcPr>
          <w:p>
            <w:pPr>
              <w:jc w:val="left"/>
            </w:pPr>
            <w:r>
              <w:rPr>
                <w:rFonts w:ascii="Calibri" w:hAnsi="Calibri"/>
                <w:b w:val="0"/>
                <w:i w:val="0"/>
                <w:color w:val="171916"/>
                <w:sz w:val="18"/>
              </w:rPr>
              <w:t>The Product Greenlight System</w:t>
            </w:r>
          </w:p>
        </w:tc>
      </w:tr>
      <w:tr>
        <w:tc>
          <w:tcPr>
            <w:tcW w:type="dxa" w:w="2200"/>
            <w:shd w:fill="FAF7EF"/>
            <w:tcBorders>
              <w:bottom w:val="single" w:sz="4" w:color="AAA79E"/>
            </w:tcBorders>
          </w:tcPr>
          <w:p>
            <w:pPr>
              <w:jc w:val="left"/>
            </w:pPr>
            <w:r>
              <w:rPr>
                <w:rFonts w:ascii="Calibri" w:hAnsi="Calibri"/>
                <w:b w:val="0"/>
                <w:i w:val="0"/>
                <w:color w:val="171916"/>
                <w:sz w:val="18"/>
              </w:rPr>
              <w:t>Platform</w:t>
            </w:r>
          </w:p>
        </w:tc>
        <w:tc>
          <w:tcPr>
            <w:tcW w:type="dxa" w:w="7160"/>
            <w:shd w:fill="FAF7EF"/>
            <w:tcBorders>
              <w:bottom w:val="single" w:sz="4" w:color="AAA79E"/>
            </w:tcBorders>
          </w:tcPr>
          <w:p>
            <w:pPr>
              <w:jc w:val="left"/>
            </w:pPr>
            <w:r>
              <w:rPr>
                <w:rFonts w:ascii="Calibri" w:hAnsi="Calibri"/>
                <w:b w:val="0"/>
                <w:i w:val="0"/>
                <w:color w:val="171916"/>
                <w:sz w:val="18"/>
              </w:rPr>
              <w:t>JVZoo - listing and approval pending</w:t>
            </w:r>
          </w:p>
        </w:tc>
      </w:tr>
      <w:tr>
        <w:tc>
          <w:tcPr>
            <w:tcW w:type="dxa" w:w="2200"/>
            <w:tcBorders>
              <w:bottom w:val="single" w:sz="4" w:color="AAA79E"/>
            </w:tcBorders>
          </w:tcPr>
          <w:p>
            <w:pPr>
              <w:jc w:val="left"/>
            </w:pPr>
            <w:r>
              <w:rPr>
                <w:rFonts w:ascii="Calibri" w:hAnsi="Calibri"/>
                <w:b w:val="0"/>
                <w:i w:val="0"/>
                <w:color w:val="171916"/>
                <w:sz w:val="18"/>
              </w:rPr>
              <w:t>Founding price</w:t>
            </w:r>
          </w:p>
        </w:tc>
        <w:tc>
          <w:tcPr>
            <w:tcW w:type="dxa" w:w="7160"/>
            <w:tcBorders>
              <w:bottom w:val="single" w:sz="4" w:color="AAA79E"/>
            </w:tcBorders>
          </w:tcPr>
          <w:p>
            <w:pPr>
              <w:jc w:val="left"/>
            </w:pPr>
            <w:r>
              <w:rPr>
                <w:rFonts w:ascii="Calibri" w:hAnsi="Calibri"/>
                <w:b w:val="0"/>
                <w:i w:val="0"/>
                <w:color w:val="171916"/>
                <w:sz w:val="18"/>
              </w:rPr>
              <w:t>US$27 one-time</w:t>
            </w:r>
          </w:p>
        </w:tc>
      </w:tr>
      <w:tr>
        <w:tc>
          <w:tcPr>
            <w:tcW w:type="dxa" w:w="2200"/>
            <w:shd w:fill="FAF7EF"/>
            <w:tcBorders>
              <w:bottom w:val="single" w:sz="4" w:color="AAA79E"/>
            </w:tcBorders>
          </w:tcPr>
          <w:p>
            <w:pPr>
              <w:jc w:val="left"/>
            </w:pPr>
            <w:r>
              <w:rPr>
                <w:rFonts w:ascii="Calibri" w:hAnsi="Calibri"/>
                <w:b w:val="0"/>
                <w:i w:val="0"/>
                <w:color w:val="171916"/>
                <w:sz w:val="18"/>
              </w:rPr>
              <w:t>Affiliate commission</w:t>
            </w:r>
          </w:p>
        </w:tc>
        <w:tc>
          <w:tcPr>
            <w:tcW w:type="dxa" w:w="7160"/>
            <w:shd w:fill="FAF7EF"/>
            <w:tcBorders>
              <w:bottom w:val="single" w:sz="4" w:color="AAA79E"/>
            </w:tcBorders>
          </w:tcPr>
          <w:p>
            <w:pPr>
              <w:jc w:val="left"/>
            </w:pPr>
            <w:r>
              <w:rPr>
                <w:rFonts w:ascii="Calibri" w:hAnsi="Calibri"/>
                <w:b w:val="0"/>
                <w:i w:val="0"/>
                <w:color w:val="171916"/>
                <w:sz w:val="18"/>
              </w:rPr>
              <w:t>60% on the front-end</w:t>
            </w:r>
          </w:p>
        </w:tc>
      </w:tr>
      <w:tr>
        <w:tc>
          <w:tcPr>
            <w:tcW w:type="dxa" w:w="2200"/>
            <w:tcBorders>
              <w:bottom w:val="single" w:sz="4" w:color="AAA79E"/>
            </w:tcBorders>
          </w:tcPr>
          <w:p>
            <w:pPr>
              <w:jc w:val="left"/>
            </w:pPr>
            <w:r>
              <w:rPr>
                <w:rFonts w:ascii="Calibri" w:hAnsi="Calibri"/>
                <w:b w:val="0"/>
                <w:i w:val="0"/>
                <w:color w:val="171916"/>
                <w:sz w:val="18"/>
              </w:rPr>
              <w:t>Affiliate earnings</w:t>
            </w:r>
          </w:p>
        </w:tc>
        <w:tc>
          <w:tcPr>
            <w:tcW w:type="dxa" w:w="7160"/>
            <w:tcBorders>
              <w:bottom w:val="single" w:sz="4" w:color="AAA79E"/>
            </w:tcBorders>
          </w:tcPr>
          <w:p>
            <w:pPr>
              <w:jc w:val="left"/>
            </w:pPr>
            <w:r>
              <w:rPr>
                <w:rFonts w:ascii="Calibri" w:hAnsi="Calibri"/>
                <w:b w:val="0"/>
                <w:i w:val="0"/>
                <w:color w:val="171916"/>
                <w:sz w:val="18"/>
              </w:rPr>
              <w:t>US$16.20 per front-end sale before any applicable adjustments</w:t>
            </w:r>
          </w:p>
        </w:tc>
      </w:tr>
      <w:tr>
        <w:tc>
          <w:tcPr>
            <w:tcW w:type="dxa" w:w="2200"/>
            <w:shd w:fill="FAF7EF"/>
            <w:tcBorders>
              <w:bottom w:val="single" w:sz="4" w:color="AAA79E"/>
            </w:tcBorders>
          </w:tcPr>
          <w:p>
            <w:pPr>
              <w:jc w:val="left"/>
            </w:pPr>
            <w:r>
              <w:rPr>
                <w:rFonts w:ascii="Calibri" w:hAnsi="Calibri"/>
                <w:b w:val="0"/>
                <w:i w:val="0"/>
                <w:color w:val="171916"/>
                <w:sz w:val="18"/>
              </w:rPr>
              <w:t>Buyer guarantee</w:t>
            </w:r>
          </w:p>
        </w:tc>
        <w:tc>
          <w:tcPr>
            <w:tcW w:type="dxa" w:w="7160"/>
            <w:shd w:fill="FAF7EF"/>
            <w:tcBorders>
              <w:bottom w:val="single" w:sz="4" w:color="AAA79E"/>
            </w:tcBorders>
          </w:tcPr>
          <w:p>
            <w:pPr>
              <w:jc w:val="left"/>
            </w:pPr>
            <w:r>
              <w:rPr>
                <w:rFonts w:ascii="Calibri" w:hAnsi="Calibri"/>
                <w:b w:val="0"/>
                <w:i w:val="0"/>
                <w:color w:val="171916"/>
                <w:sz w:val="18"/>
              </w:rPr>
              <w:t>14-day clarity guarantee, subject to the final JVZoo refund configuration</w:t>
            </w:r>
          </w:p>
        </w:tc>
      </w:tr>
      <w:tr>
        <w:tc>
          <w:tcPr>
            <w:tcW w:type="dxa" w:w="2200"/>
            <w:tcBorders>
              <w:bottom w:val="single" w:sz="4" w:color="AAA79E"/>
            </w:tcBorders>
          </w:tcPr>
          <w:p>
            <w:pPr>
              <w:jc w:val="left"/>
            </w:pPr>
            <w:r>
              <w:rPr>
                <w:rFonts w:ascii="Calibri" w:hAnsi="Calibri"/>
                <w:b w:val="0"/>
                <w:i w:val="0"/>
                <w:color w:val="171916"/>
                <w:sz w:val="18"/>
              </w:rPr>
              <w:t>Sales page</w:t>
            </w:r>
          </w:p>
        </w:tc>
        <w:tc>
          <w:tcPr>
            <w:tcW w:type="dxa" w:w="7160"/>
            <w:tcBorders>
              <w:bottom w:val="single" w:sz="4" w:color="AAA79E"/>
            </w:tcBorders>
          </w:tcPr>
          <w:p>
            <w:pPr>
              <w:jc w:val="left"/>
            </w:pPr>
            <w:r>
              <w:rPr>
                <w:rFonts w:ascii="Calibri" w:hAnsi="Calibri"/>
                <w:b w:val="0"/>
                <w:i w:val="0"/>
                <w:color w:val="171916"/>
                <w:sz w:val="18"/>
              </w:rPr>
              <w:t>https://productgreenlightsystem.com</w:t>
            </w:r>
          </w:p>
        </w:tc>
      </w:tr>
      <w:tr>
        <w:tc>
          <w:tcPr>
            <w:tcW w:type="dxa" w:w="2200"/>
            <w:shd w:fill="FAF7EF"/>
            <w:tcBorders>
              <w:bottom w:val="single" w:sz="4" w:color="AAA79E"/>
            </w:tcBorders>
          </w:tcPr>
          <w:p>
            <w:pPr>
              <w:jc w:val="left"/>
            </w:pPr>
            <w:r>
              <w:rPr>
                <w:rFonts w:ascii="Calibri" w:hAnsi="Calibri"/>
                <w:b w:val="0"/>
                <w:i w:val="0"/>
                <w:color w:val="171916"/>
                <w:sz w:val="18"/>
              </w:rPr>
              <w:t>Affiliate page</w:t>
            </w:r>
          </w:p>
        </w:tc>
        <w:tc>
          <w:tcPr>
            <w:tcW w:type="dxa" w:w="7160"/>
            <w:shd w:fill="FAF7EF"/>
            <w:tcBorders>
              <w:bottom w:val="single" w:sz="4" w:color="AAA79E"/>
            </w:tcBorders>
          </w:tcPr>
          <w:p>
            <w:pPr>
              <w:jc w:val="left"/>
            </w:pPr>
            <w:r>
              <w:rPr>
                <w:rFonts w:ascii="Calibri" w:hAnsi="Calibri"/>
                <w:b w:val="0"/>
                <w:i w:val="0"/>
                <w:color w:val="171916"/>
                <w:sz w:val="18"/>
              </w:rPr>
              <w:t>https://productgreenlightsystem.com/affiliates</w:t>
            </w:r>
          </w:p>
        </w:tc>
      </w:tr>
    </w:tbl>
    <w:p>
      <w:pPr>
        <w:spacing w:after="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285744"/>
              <w:bottom w:val="single" w:sz="4" w:color="AAA79E"/>
              <w:end w:val="single" w:sz="4" w:color="AAA79E"/>
            </w:tcBorders>
          </w:tcPr>
          <w:p>
            <w:r>
              <w:rPr>
                <w:rFonts w:ascii="Calibri" w:hAnsi="Calibri"/>
                <w:b/>
                <w:i w:val="0"/>
                <w:color w:val="285744"/>
                <w:sz w:val="16"/>
              </w:rPr>
              <w:t>AFFILIATE PROMISE</w:t>
            </w:r>
          </w:p>
          <w:p>
            <w:pPr>
              <w:spacing w:after="0"/>
            </w:pPr>
            <w:r>
              <w:rPr>
                <w:rFonts w:ascii="Calibri" w:hAnsi="Calibri"/>
                <w:b w:val="0"/>
                <w:i w:val="0"/>
                <w:color w:val="171916"/>
                <w:sz w:val="21"/>
              </w:rPr>
              <w:t>Help your audience decide whether a digital-product idea deserves to be built - before they spend weeks creating it.</w:t>
            </w:r>
          </w:p>
        </w:tc>
      </w:tr>
    </w:tbl>
    <w:p>
      <w:pPr>
        <w:spacing w:after="40"/>
      </w:pPr>
    </w:p>
    <w:p>
      <w:pPr>
        <w:pStyle w:val="Heading2"/>
      </w:pPr>
      <w:r>
        <w:t>Before promoting</w:t>
      </w:r>
    </w:p>
    <w:p>
      <w:pPr>
        <w:pStyle w:val="ListBullet"/>
        <w:spacing w:after="80" w:line="288" w:lineRule="auto"/>
      </w:pPr>
      <w:r>
        <w:rPr>
          <w:rFonts w:ascii="Calibri" w:hAnsi="Calibri"/>
          <w:b w:val="0"/>
          <w:i w:val="0"/>
          <w:color w:val="171916"/>
          <w:sz w:val="21"/>
        </w:rPr>
        <w:t>Wait until the JVZoo offer is approved and your affiliate request has been accepted.</w:t>
      </w:r>
    </w:p>
    <w:p>
      <w:pPr>
        <w:pStyle w:val="ListBullet"/>
        <w:spacing w:after="80" w:line="288" w:lineRule="auto"/>
      </w:pPr>
      <w:r>
        <w:rPr>
          <w:rFonts w:ascii="Calibri" w:hAnsi="Calibri"/>
          <w:b w:val="0"/>
          <w:i w:val="0"/>
          <w:color w:val="171916"/>
          <w:sz w:val="21"/>
        </w:rPr>
        <w:t>Replace every bracketed placeholder with your own approved affiliate link.</w:t>
      </w:r>
    </w:p>
    <w:p>
      <w:pPr>
        <w:pStyle w:val="ListBullet"/>
        <w:spacing w:after="80" w:line="288" w:lineRule="auto"/>
      </w:pPr>
      <w:r>
        <w:rPr>
          <w:rFonts w:ascii="Calibri" w:hAnsi="Calibri"/>
          <w:b w:val="0"/>
          <w:i w:val="0"/>
          <w:color w:val="171916"/>
          <w:sz w:val="21"/>
        </w:rPr>
        <w:t>Use only the claims and product descriptions contained in this kit.</w:t>
      </w:r>
    </w:p>
    <w:p>
      <w:pPr>
        <w:pStyle w:val="ListBullet"/>
        <w:spacing w:after="80" w:line="288" w:lineRule="auto"/>
      </w:pPr>
      <w:r>
        <w:rPr>
          <w:rFonts w:ascii="Calibri" w:hAnsi="Calibri"/>
          <w:b w:val="0"/>
          <w:i w:val="0"/>
          <w:color w:val="171916"/>
          <w:sz w:val="21"/>
        </w:rPr>
        <w:t>Disclose your affiliate relationship wherever applicable.</w:t>
      </w:r>
    </w:p>
    <w:p>
      <w:pPr>
        <w:pStyle w:val="ListBullet"/>
        <w:spacing w:after="80" w:line="288" w:lineRule="auto"/>
      </w:pPr>
      <w:r>
        <w:rPr>
          <w:rFonts w:ascii="Calibri" w:hAnsi="Calibri"/>
          <w:b w:val="0"/>
          <w:i w:val="0"/>
          <w:color w:val="171916"/>
          <w:sz w:val="21"/>
        </w:rPr>
        <w:t>Never promise income, sales, commercial success, or guaranteed validation.</w:t>
      </w:r>
    </w:p>
    <w:p>
      <w:r>
        <w:br w:type="page"/>
      </w:r>
    </w:p>
    <w:p>
      <w:pPr>
        <w:spacing w:after="100"/>
      </w:pPr>
      <w:r>
        <w:rPr>
          <w:rFonts w:ascii="Calibri" w:hAnsi="Calibri"/>
          <w:b/>
          <w:i w:val="0"/>
          <w:color w:val="285744"/>
          <w:sz w:val="16"/>
        </w:rPr>
        <w:t>POSITIONING</w:t>
      </w:r>
    </w:p>
    <w:p>
      <w:pPr>
        <w:pStyle w:val="Heading1"/>
      </w:pPr>
      <w:r>
        <w:t>What affiliates are actually promoting</w:t>
      </w:r>
    </w:p>
    <w:p>
      <w:r>
        <w:t>Product Greenlight is not an e-book generator, prompt bundle, or automated promise of market demand. It is an evidence-first decision system used before production. The buyer evaluates one idea across seven commercial dimensions, weighs the confidence behind the evidence, checks risk gates, and records one of four next moves.</w:t>
      </w:r>
    </w:p>
    <w:tbl>
      <w:tblPr>
        <w:tblW w:type="dxa" w:w="9360"/>
        <w:jc w:val="left"/>
        <w:tblLayout w:type="fixed"/>
        <w:tblLook w:firstColumn="1" w:firstRow="1" w:lastColumn="0" w:lastRow="0" w:noHBand="0" w:noVBand="1" w:val="04A0"/>
        <w:tblInd w:w="120" w:type="dxa"/>
      </w:tblPr>
      <w:tblGrid>
        <w:gridCol w:w="1900"/>
        <w:gridCol w:w="7460"/>
      </w:tblGrid>
      <w:tr>
        <w:trPr>
          <w:tblHeader w:val="true"/>
        </w:trPr>
        <w:tc>
          <w:tcPr>
            <w:tcW w:type="dxa" w:w="1900"/>
            <w:vAlign w:val="center"/>
            <w:tcMar>
              <w:top w:w="100" w:type="dxa"/>
              <w:start w:w="120" w:type="dxa"/>
              <w:bottom w:w="100" w:type="dxa"/>
              <w:end w:w="120" w:type="dxa"/>
            </w:tcMar>
            <w:shd w:fill="173B2D"/>
          </w:tcPr>
          <w:p>
            <w:pPr>
              <w:jc w:val="left"/>
            </w:pPr>
            <w:r>
              <w:rPr>
                <w:rFonts w:ascii="Calibri" w:hAnsi="Calibri"/>
                <w:b/>
                <w:i w:val="0"/>
                <w:color w:val="FFFFFF"/>
                <w:sz w:val="17"/>
              </w:rPr>
              <w:t>Element</w:t>
            </w:r>
          </w:p>
        </w:tc>
        <w:tc>
          <w:tcPr>
            <w:tcW w:type="dxa" w:w="7460"/>
            <w:vAlign w:val="center"/>
            <w:tcMar>
              <w:top w:w="100" w:type="dxa"/>
              <w:start w:w="120" w:type="dxa"/>
              <w:bottom w:w="100" w:type="dxa"/>
              <w:end w:w="120" w:type="dxa"/>
            </w:tcMar>
            <w:shd w:fill="173B2D"/>
          </w:tcPr>
          <w:p>
            <w:pPr>
              <w:jc w:val="left"/>
            </w:pPr>
            <w:r>
              <w:rPr>
                <w:rFonts w:ascii="Calibri" w:hAnsi="Calibri"/>
                <w:b/>
                <w:i w:val="0"/>
                <w:color w:val="FFFFFF"/>
                <w:sz w:val="17"/>
              </w:rPr>
              <w:t>Approved version</w:t>
            </w:r>
          </w:p>
        </w:tc>
      </w:tr>
      <w:tr>
        <w:tc>
          <w:tcPr>
            <w:tcW w:type="dxa" w:w="1900"/>
            <w:tcBorders>
              <w:bottom w:val="single" w:sz="4" w:color="AAA79E"/>
            </w:tcBorders>
          </w:tcPr>
          <w:p>
            <w:pPr>
              <w:jc w:val="left"/>
            </w:pPr>
            <w:r>
              <w:rPr>
                <w:rFonts w:ascii="Calibri" w:hAnsi="Calibri"/>
                <w:b w:val="0"/>
                <w:i w:val="0"/>
                <w:color w:val="171916"/>
                <w:sz w:val="18"/>
              </w:rPr>
              <w:t>Primary buyer</w:t>
            </w:r>
          </w:p>
        </w:tc>
        <w:tc>
          <w:tcPr>
            <w:tcW w:type="dxa" w:w="7460"/>
            <w:tcBorders>
              <w:bottom w:val="single" w:sz="4" w:color="AAA79E"/>
            </w:tcBorders>
          </w:tcPr>
          <w:p>
            <w:pPr>
              <w:jc w:val="left"/>
            </w:pPr>
            <w:r>
              <w:rPr>
                <w:rFonts w:ascii="Calibri" w:hAnsi="Calibri"/>
                <w:b w:val="0"/>
                <w:i w:val="0"/>
                <w:color w:val="171916"/>
                <w:sz w:val="18"/>
              </w:rPr>
              <w:t>Solo digital-product creators, affiliates, freelancers, and early-stage producers considering a new offer.</w:t>
            </w:r>
          </w:p>
        </w:tc>
      </w:tr>
      <w:tr>
        <w:tc>
          <w:tcPr>
            <w:tcW w:type="dxa" w:w="1900"/>
            <w:shd w:fill="FAF7EF"/>
            <w:tcBorders>
              <w:bottom w:val="single" w:sz="4" w:color="AAA79E"/>
            </w:tcBorders>
          </w:tcPr>
          <w:p>
            <w:pPr>
              <w:jc w:val="left"/>
            </w:pPr>
            <w:r>
              <w:rPr>
                <w:rFonts w:ascii="Calibri" w:hAnsi="Calibri"/>
                <w:b w:val="0"/>
                <w:i w:val="0"/>
                <w:color w:val="171916"/>
                <w:sz w:val="18"/>
              </w:rPr>
              <w:t>Buying moment</w:t>
            </w:r>
          </w:p>
        </w:tc>
        <w:tc>
          <w:tcPr>
            <w:tcW w:type="dxa" w:w="7460"/>
            <w:shd w:fill="FAF7EF"/>
            <w:tcBorders>
              <w:bottom w:val="single" w:sz="4" w:color="AAA79E"/>
            </w:tcBorders>
          </w:tcPr>
          <w:p>
            <w:pPr>
              <w:jc w:val="left"/>
            </w:pPr>
            <w:r>
              <w:rPr>
                <w:rFonts w:ascii="Calibri" w:hAnsi="Calibri"/>
                <w:b w:val="0"/>
                <w:i w:val="0"/>
                <w:color w:val="171916"/>
                <w:sz w:val="18"/>
              </w:rPr>
              <w:t>They have an idea but are unsure whether it deserves time, production, and promotion.</w:t>
            </w:r>
          </w:p>
        </w:tc>
      </w:tr>
      <w:tr>
        <w:tc>
          <w:tcPr>
            <w:tcW w:type="dxa" w:w="1900"/>
            <w:tcBorders>
              <w:bottom w:val="single" w:sz="4" w:color="AAA79E"/>
            </w:tcBorders>
          </w:tcPr>
          <w:p>
            <w:pPr>
              <w:jc w:val="left"/>
            </w:pPr>
            <w:r>
              <w:rPr>
                <w:rFonts w:ascii="Calibri" w:hAnsi="Calibri"/>
                <w:b w:val="0"/>
                <w:i w:val="0"/>
                <w:color w:val="171916"/>
                <w:sz w:val="18"/>
              </w:rPr>
              <w:t>Problem</w:t>
            </w:r>
          </w:p>
        </w:tc>
        <w:tc>
          <w:tcPr>
            <w:tcW w:type="dxa" w:w="7460"/>
            <w:tcBorders>
              <w:bottom w:val="single" w:sz="4" w:color="AAA79E"/>
            </w:tcBorders>
          </w:tcPr>
          <w:p>
            <w:pPr>
              <w:jc w:val="left"/>
            </w:pPr>
            <w:r>
              <w:rPr>
                <w:rFonts w:ascii="Calibri" w:hAnsi="Calibri"/>
                <w:b w:val="0"/>
                <w:i w:val="0"/>
                <w:color w:val="171916"/>
                <w:sz w:val="18"/>
              </w:rPr>
              <w:t>Building first and discovering weak demand, poor reachability, or a vague promise after the work is done.</w:t>
            </w:r>
          </w:p>
        </w:tc>
      </w:tr>
      <w:tr>
        <w:tc>
          <w:tcPr>
            <w:tcW w:type="dxa" w:w="1900"/>
            <w:shd w:fill="FAF7EF"/>
            <w:tcBorders>
              <w:bottom w:val="single" w:sz="4" w:color="AAA79E"/>
            </w:tcBorders>
          </w:tcPr>
          <w:p>
            <w:pPr>
              <w:jc w:val="left"/>
            </w:pPr>
            <w:r>
              <w:rPr>
                <w:rFonts w:ascii="Calibri" w:hAnsi="Calibri"/>
                <w:b w:val="0"/>
                <w:i w:val="0"/>
                <w:color w:val="171916"/>
                <w:sz w:val="18"/>
              </w:rPr>
              <w:t>Mechanism</w:t>
            </w:r>
          </w:p>
        </w:tc>
        <w:tc>
          <w:tcPr>
            <w:tcW w:type="dxa" w:w="7460"/>
            <w:shd w:fill="FAF7EF"/>
            <w:tcBorders>
              <w:bottom w:val="single" w:sz="4" w:color="AAA79E"/>
            </w:tcBorders>
          </w:tcPr>
          <w:p>
            <w:pPr>
              <w:jc w:val="left"/>
            </w:pPr>
            <w:r>
              <w:rPr>
                <w:rFonts w:ascii="Calibri" w:hAnsi="Calibri"/>
                <w:b w:val="0"/>
                <w:i w:val="0"/>
                <w:color w:val="171916"/>
                <w:sz w:val="18"/>
              </w:rPr>
              <w:t>GREENLIGHT-7: seven dimensions, confidence weighting, risk gates, and a documented next test.</w:t>
            </w:r>
          </w:p>
        </w:tc>
      </w:tr>
      <w:tr>
        <w:tc>
          <w:tcPr>
            <w:tcW w:type="dxa" w:w="1900"/>
            <w:tcBorders>
              <w:bottom w:val="single" w:sz="4" w:color="AAA79E"/>
            </w:tcBorders>
          </w:tcPr>
          <w:p>
            <w:pPr>
              <w:jc w:val="left"/>
            </w:pPr>
            <w:r>
              <w:rPr>
                <w:rFonts w:ascii="Calibri" w:hAnsi="Calibri"/>
                <w:b w:val="0"/>
                <w:i w:val="0"/>
                <w:color w:val="171916"/>
                <w:sz w:val="18"/>
              </w:rPr>
              <w:t>Outcome</w:t>
            </w:r>
          </w:p>
        </w:tc>
        <w:tc>
          <w:tcPr>
            <w:tcW w:type="dxa" w:w="7460"/>
            <w:tcBorders>
              <w:bottom w:val="single" w:sz="4" w:color="AAA79E"/>
            </w:tcBorders>
          </w:tcPr>
          <w:p>
            <w:pPr>
              <w:jc w:val="left"/>
            </w:pPr>
            <w:r>
              <w:rPr>
                <w:rFonts w:ascii="Calibri" w:hAnsi="Calibri"/>
                <w:b w:val="0"/>
                <w:i w:val="0"/>
                <w:color w:val="171916"/>
                <w:sz w:val="18"/>
              </w:rPr>
              <w:t>A clearer BUILD, PIVOT, KILL, or EVIDENCE GAP decision.</w:t>
            </w:r>
          </w:p>
        </w:tc>
      </w:tr>
      <w:tr>
        <w:tc>
          <w:tcPr>
            <w:tcW w:type="dxa" w:w="1900"/>
            <w:shd w:fill="FAF7EF"/>
            <w:tcBorders>
              <w:bottom w:val="single" w:sz="4" w:color="AAA79E"/>
            </w:tcBorders>
          </w:tcPr>
          <w:p>
            <w:pPr>
              <w:jc w:val="left"/>
            </w:pPr>
            <w:r>
              <w:rPr>
                <w:rFonts w:ascii="Calibri" w:hAnsi="Calibri"/>
                <w:b w:val="0"/>
                <w:i w:val="0"/>
                <w:color w:val="171916"/>
                <w:sz w:val="18"/>
              </w:rPr>
              <w:t>Enemy</w:t>
            </w:r>
          </w:p>
        </w:tc>
        <w:tc>
          <w:tcPr>
            <w:tcW w:type="dxa" w:w="7460"/>
            <w:shd w:fill="FAF7EF"/>
            <w:tcBorders>
              <w:bottom w:val="single" w:sz="4" w:color="AAA79E"/>
            </w:tcBorders>
          </w:tcPr>
          <w:p>
            <w:pPr>
              <w:jc w:val="left"/>
            </w:pPr>
            <w:r>
              <w:rPr>
                <w:rFonts w:ascii="Calibri" w:hAnsi="Calibri"/>
                <w:b w:val="0"/>
                <w:i w:val="0"/>
                <w:color w:val="171916"/>
                <w:sz w:val="18"/>
              </w:rPr>
              <w:t>Idea enthusiasm and AI-generated certainty without observable evidence.</w:t>
            </w:r>
          </w:p>
        </w:tc>
      </w:tr>
    </w:tbl>
    <w:p>
      <w:pPr>
        <w:spacing w:after="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285744"/>
              <w:bottom w:val="single" w:sz="4" w:color="AAA79E"/>
              <w:end w:val="single" w:sz="4" w:color="AAA79E"/>
            </w:tcBorders>
          </w:tcPr>
          <w:p>
            <w:r>
              <w:rPr>
                <w:rFonts w:ascii="Calibri" w:hAnsi="Calibri"/>
                <w:b/>
                <w:i w:val="0"/>
                <w:color w:val="285744"/>
                <w:sz w:val="16"/>
              </w:rPr>
              <w:t>APPROVED ONE-SENTENCE OFFER</w:t>
            </w:r>
          </w:p>
          <w:p>
            <w:pPr>
              <w:spacing w:after="0"/>
            </w:pPr>
            <w:r>
              <w:rPr>
                <w:rFonts w:ascii="Calibri" w:hAnsi="Calibri"/>
                <w:b w:val="0"/>
                <w:i w:val="0"/>
                <w:color w:val="171916"/>
                <w:sz w:val="21"/>
              </w:rPr>
              <w:t>Product Greenlight is an evidence-first decision system that helps digital-product creators decide what to build, what to change, and what to stop before production absorbs their time.</w:t>
            </w:r>
          </w:p>
        </w:tc>
      </w:tr>
    </w:tbl>
    <w:p>
      <w:pPr>
        <w:spacing w:after="40"/>
      </w:pPr>
    </w:p>
    <w:p>
      <w:r>
        <w:br w:type="page"/>
      </w:r>
    </w:p>
    <w:p>
      <w:pPr>
        <w:spacing w:after="100"/>
      </w:pPr>
      <w:r>
        <w:rPr>
          <w:rFonts w:ascii="Calibri" w:hAnsi="Calibri"/>
          <w:b/>
          <w:i w:val="0"/>
          <w:color w:val="285744"/>
          <w:sz w:val="16"/>
        </w:rPr>
        <w:t>AUDIENCE</w:t>
      </w:r>
    </w:p>
    <w:p>
      <w:pPr>
        <w:pStyle w:val="Heading1"/>
      </w:pPr>
      <w:r>
        <w:t>Who should receive this offer</w:t>
      </w:r>
    </w:p>
    <w:p>
      <w:pPr>
        <w:pStyle w:val="Heading2"/>
      </w:pPr>
      <w:r>
        <w:t>Best-fit audience</w:t>
      </w:r>
    </w:p>
    <w:p>
      <w:pPr>
        <w:pStyle w:val="ListBullet"/>
        <w:spacing w:after="80" w:line="288" w:lineRule="auto"/>
      </w:pPr>
      <w:r>
        <w:rPr>
          <w:rFonts w:ascii="Calibri" w:hAnsi="Calibri"/>
          <w:b w:val="0"/>
          <w:i w:val="0"/>
          <w:color w:val="171916"/>
          <w:sz w:val="21"/>
        </w:rPr>
        <w:t>Creators deciding between several digital-product ideas.</w:t>
      </w:r>
    </w:p>
    <w:p>
      <w:pPr>
        <w:pStyle w:val="ListBullet"/>
        <w:spacing w:after="80" w:line="288" w:lineRule="auto"/>
      </w:pPr>
      <w:r>
        <w:rPr>
          <w:rFonts w:ascii="Calibri" w:hAnsi="Calibri"/>
          <w:b w:val="0"/>
          <w:i w:val="0"/>
          <w:color w:val="171916"/>
          <w:sz w:val="21"/>
        </w:rPr>
        <w:t>Affiliates who want to develop a product of their own.</w:t>
      </w:r>
    </w:p>
    <w:p>
      <w:pPr>
        <w:pStyle w:val="ListBullet"/>
        <w:spacing w:after="80" w:line="288" w:lineRule="auto"/>
      </w:pPr>
      <w:r>
        <w:rPr>
          <w:rFonts w:ascii="Calibri" w:hAnsi="Calibri"/>
          <w:b w:val="0"/>
          <w:i w:val="0"/>
          <w:color w:val="171916"/>
          <w:sz w:val="21"/>
        </w:rPr>
        <w:t>Freelancers or small agencies productizing their knowledge.</w:t>
      </w:r>
    </w:p>
    <w:p>
      <w:pPr>
        <w:pStyle w:val="ListBullet"/>
        <w:spacing w:after="80" w:line="288" w:lineRule="auto"/>
      </w:pPr>
      <w:r>
        <w:rPr>
          <w:rFonts w:ascii="Calibri" w:hAnsi="Calibri"/>
          <w:b w:val="0"/>
          <w:i w:val="0"/>
          <w:color w:val="171916"/>
          <w:sz w:val="21"/>
        </w:rPr>
        <w:t>Course, template, e-book, toolkit, prompt-library, or mini-product creators.</w:t>
      </w:r>
    </w:p>
    <w:p>
      <w:pPr>
        <w:pStyle w:val="ListBullet"/>
        <w:spacing w:after="80" w:line="288" w:lineRule="auto"/>
      </w:pPr>
      <w:r>
        <w:rPr>
          <w:rFonts w:ascii="Calibri" w:hAnsi="Calibri"/>
          <w:b w:val="0"/>
          <w:i w:val="0"/>
          <w:color w:val="171916"/>
          <w:sz w:val="21"/>
        </w:rPr>
        <w:t>People using AI to accelerate production but worried about building the wrong offer.</w:t>
      </w:r>
    </w:p>
    <w:p>
      <w:pPr>
        <w:pStyle w:val="Heading2"/>
      </w:pPr>
      <w:r>
        <w:t>Poor-fit audience</w:t>
      </w:r>
    </w:p>
    <w:p>
      <w:pPr>
        <w:pStyle w:val="ListBullet"/>
        <w:spacing w:after="80" w:line="288" w:lineRule="auto"/>
      </w:pPr>
      <w:r>
        <w:rPr>
          <w:rFonts w:ascii="Calibri" w:hAnsi="Calibri"/>
          <w:b w:val="0"/>
          <w:i w:val="0"/>
          <w:color w:val="171916"/>
          <w:sz w:val="21"/>
        </w:rPr>
        <w:t>Buyers seeking guaranteed income, instant sales, or a done-for-you business.</w:t>
      </w:r>
    </w:p>
    <w:p>
      <w:pPr>
        <w:pStyle w:val="ListBullet"/>
        <w:spacing w:after="80" w:line="288" w:lineRule="auto"/>
      </w:pPr>
      <w:r>
        <w:rPr>
          <w:rFonts w:ascii="Calibri" w:hAnsi="Calibri"/>
          <w:b w:val="0"/>
          <w:i w:val="0"/>
          <w:color w:val="171916"/>
          <w:sz w:val="21"/>
        </w:rPr>
        <w:t>People who will not conduct any research or test assumptions.</w:t>
      </w:r>
    </w:p>
    <w:p>
      <w:pPr>
        <w:pStyle w:val="ListBullet"/>
        <w:spacing w:after="80" w:line="288" w:lineRule="auto"/>
      </w:pPr>
      <w:r>
        <w:rPr>
          <w:rFonts w:ascii="Calibri" w:hAnsi="Calibri"/>
          <w:b w:val="0"/>
          <w:i w:val="0"/>
          <w:color w:val="171916"/>
          <w:sz w:val="21"/>
        </w:rPr>
        <w:t>Buyers expecting the system to create and publish the final infoproduct automatically.</w:t>
      </w:r>
    </w:p>
    <w:p>
      <w:pPr>
        <w:pStyle w:val="ListBullet"/>
        <w:spacing w:after="80" w:line="288" w:lineRule="auto"/>
      </w:pPr>
      <w:r>
        <w:rPr>
          <w:rFonts w:ascii="Calibri" w:hAnsi="Calibri"/>
          <w:b w:val="0"/>
          <w:i w:val="0"/>
          <w:color w:val="171916"/>
          <w:sz w:val="21"/>
        </w:rPr>
        <w:t>Established teams seeking enterprise market-research software.</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QUALIFICATION LINE</w:t>
            </w:r>
          </w:p>
          <w:p>
            <w:pPr>
              <w:spacing w:after="0"/>
            </w:pPr>
            <w:r>
              <w:rPr>
                <w:rFonts w:ascii="Calibri" w:hAnsi="Calibri"/>
                <w:b w:val="0"/>
                <w:i w:val="0"/>
                <w:color w:val="171916"/>
                <w:sz w:val="21"/>
              </w:rPr>
              <w:t>This is for someone who wants a disciplined decision before production - not another AI tool that says every idea is promising.</w:t>
            </w:r>
          </w:p>
        </w:tc>
      </w:tr>
    </w:tbl>
    <w:p>
      <w:pPr>
        <w:spacing w:after="40"/>
      </w:pPr>
    </w:p>
    <w:p>
      <w:r>
        <w:br w:type="page"/>
      </w:r>
    </w:p>
    <w:p>
      <w:pPr>
        <w:spacing w:after="100"/>
      </w:pPr>
      <w:r>
        <w:rPr>
          <w:rFonts w:ascii="Calibri" w:hAnsi="Calibri"/>
          <w:b/>
          <w:i w:val="0"/>
          <w:color w:val="285744"/>
          <w:sz w:val="16"/>
        </w:rPr>
        <w:t>PROMOTION ANGLES</w:t>
      </w:r>
    </w:p>
    <w:p>
      <w:pPr>
        <w:pStyle w:val="Heading1"/>
      </w:pPr>
      <w:r>
        <w:t>Seven angles affiliates can test</w:t>
      </w:r>
    </w:p>
    <w:tbl>
      <w:tblPr>
        <w:tblW w:type="dxa" w:w="9360"/>
        <w:jc w:val="left"/>
        <w:tblLayout w:type="fixed"/>
        <w:tblLook w:firstColumn="1" w:firstRow="1" w:lastColumn="0" w:lastRow="0" w:noHBand="0" w:noVBand="1" w:val="04A0"/>
        <w:tblInd w:w="120" w:type="dxa"/>
      </w:tblPr>
      <w:tblGrid>
        <w:gridCol w:w="1900"/>
        <w:gridCol w:w="4100"/>
        <w:gridCol w:w="3360"/>
      </w:tblGrid>
      <w:tr>
        <w:trPr>
          <w:tblHeader w:val="true"/>
        </w:trPr>
        <w:tc>
          <w:tcPr>
            <w:tcW w:type="dxa" w:w="1900"/>
            <w:vAlign w:val="center"/>
            <w:tcMar>
              <w:top w:w="100" w:type="dxa"/>
              <w:start w:w="120" w:type="dxa"/>
              <w:bottom w:w="100" w:type="dxa"/>
              <w:end w:w="120" w:type="dxa"/>
            </w:tcMar>
            <w:shd w:fill="173B2D"/>
          </w:tcPr>
          <w:p>
            <w:pPr>
              <w:jc w:val="left"/>
            </w:pPr>
            <w:r>
              <w:rPr>
                <w:rFonts w:ascii="Calibri" w:hAnsi="Calibri"/>
                <w:b/>
                <w:i w:val="0"/>
                <w:color w:val="FFFFFF"/>
                <w:sz w:val="17"/>
              </w:rPr>
              <w:t>Angle</w:t>
            </w:r>
          </w:p>
        </w:tc>
        <w:tc>
          <w:tcPr>
            <w:tcW w:type="dxa" w:w="4100"/>
            <w:vAlign w:val="center"/>
            <w:tcMar>
              <w:top w:w="100" w:type="dxa"/>
              <w:start w:w="120" w:type="dxa"/>
              <w:bottom w:w="100" w:type="dxa"/>
              <w:end w:w="120" w:type="dxa"/>
            </w:tcMar>
            <w:shd w:fill="173B2D"/>
          </w:tcPr>
          <w:p>
            <w:pPr>
              <w:jc w:val="left"/>
            </w:pPr>
            <w:r>
              <w:rPr>
                <w:rFonts w:ascii="Calibri" w:hAnsi="Calibri"/>
                <w:b/>
                <w:i w:val="0"/>
                <w:color w:val="FFFFFF"/>
                <w:sz w:val="17"/>
              </w:rPr>
              <w:t>Hook</w:t>
            </w:r>
          </w:p>
        </w:tc>
        <w:tc>
          <w:tcPr>
            <w:tcW w:type="dxa" w:w="3360"/>
            <w:vAlign w:val="center"/>
            <w:tcMar>
              <w:top w:w="100" w:type="dxa"/>
              <w:start w:w="120" w:type="dxa"/>
              <w:bottom w:w="100" w:type="dxa"/>
              <w:end w:w="120" w:type="dxa"/>
            </w:tcMar>
            <w:shd w:fill="173B2D"/>
          </w:tcPr>
          <w:p>
            <w:pPr>
              <w:jc w:val="left"/>
            </w:pPr>
            <w:r>
              <w:rPr>
                <w:rFonts w:ascii="Calibri" w:hAnsi="Calibri"/>
                <w:b/>
                <w:i w:val="0"/>
                <w:color w:val="FFFFFF"/>
                <w:sz w:val="17"/>
              </w:rPr>
              <w:t>Best audience</w:t>
            </w:r>
          </w:p>
        </w:tc>
      </w:tr>
      <w:tr>
        <w:tc>
          <w:tcPr>
            <w:tcW w:type="dxa" w:w="1900"/>
            <w:tcBorders>
              <w:bottom w:val="single" w:sz="4" w:color="AAA79E"/>
            </w:tcBorders>
          </w:tcPr>
          <w:p>
            <w:pPr>
              <w:jc w:val="left"/>
            </w:pPr>
            <w:r>
              <w:rPr>
                <w:rFonts w:ascii="Calibri" w:hAnsi="Calibri"/>
                <w:b w:val="0"/>
                <w:i w:val="0"/>
                <w:color w:val="171916"/>
                <w:sz w:val="18"/>
              </w:rPr>
              <w:t>The AI speed trap</w:t>
            </w:r>
          </w:p>
        </w:tc>
        <w:tc>
          <w:tcPr>
            <w:tcW w:type="dxa" w:w="4100"/>
            <w:tcBorders>
              <w:bottom w:val="single" w:sz="4" w:color="AAA79E"/>
            </w:tcBorders>
          </w:tcPr>
          <w:p>
            <w:pPr>
              <w:jc w:val="left"/>
            </w:pPr>
            <w:r>
              <w:rPr>
                <w:rFonts w:ascii="Calibri" w:hAnsi="Calibri"/>
                <w:b w:val="0"/>
                <w:i w:val="0"/>
                <w:color w:val="171916"/>
                <w:sz w:val="18"/>
              </w:rPr>
              <w:t>AI did not remove product risk. It made the wrong product faster to build.</w:t>
            </w:r>
          </w:p>
        </w:tc>
        <w:tc>
          <w:tcPr>
            <w:tcW w:type="dxa" w:w="3360"/>
            <w:tcBorders>
              <w:bottom w:val="single" w:sz="4" w:color="AAA79E"/>
            </w:tcBorders>
          </w:tcPr>
          <w:p>
            <w:pPr>
              <w:jc w:val="left"/>
            </w:pPr>
            <w:r>
              <w:rPr>
                <w:rFonts w:ascii="Calibri" w:hAnsi="Calibri"/>
                <w:b w:val="0"/>
                <w:i w:val="0"/>
                <w:color w:val="171916"/>
                <w:sz w:val="18"/>
              </w:rPr>
              <w:t>AI creators and prompt-tool users</w:t>
            </w:r>
          </w:p>
        </w:tc>
      </w:tr>
      <w:tr>
        <w:tc>
          <w:tcPr>
            <w:tcW w:type="dxa" w:w="1900"/>
            <w:shd w:fill="FAF7EF"/>
            <w:tcBorders>
              <w:bottom w:val="single" w:sz="4" w:color="AAA79E"/>
            </w:tcBorders>
          </w:tcPr>
          <w:p>
            <w:pPr>
              <w:jc w:val="left"/>
            </w:pPr>
            <w:r>
              <w:rPr>
                <w:rFonts w:ascii="Calibri" w:hAnsi="Calibri"/>
                <w:b w:val="0"/>
                <w:i w:val="0"/>
                <w:color w:val="171916"/>
                <w:sz w:val="18"/>
              </w:rPr>
              <w:t>The 60-minute decision</w:t>
            </w:r>
          </w:p>
        </w:tc>
        <w:tc>
          <w:tcPr>
            <w:tcW w:type="dxa" w:w="4100"/>
            <w:shd w:fill="FAF7EF"/>
            <w:tcBorders>
              <w:bottom w:val="single" w:sz="4" w:color="AAA79E"/>
            </w:tcBorders>
          </w:tcPr>
          <w:p>
            <w:pPr>
              <w:jc w:val="left"/>
            </w:pPr>
            <w:r>
              <w:rPr>
                <w:rFonts w:ascii="Calibri" w:hAnsi="Calibri"/>
                <w:b w:val="0"/>
                <w:i w:val="0"/>
                <w:color w:val="171916"/>
                <w:sz w:val="18"/>
              </w:rPr>
              <w:t>Give the idea 60 minutes before giving it 60 hours.</w:t>
            </w:r>
          </w:p>
        </w:tc>
        <w:tc>
          <w:tcPr>
            <w:tcW w:type="dxa" w:w="3360"/>
            <w:shd w:fill="FAF7EF"/>
            <w:tcBorders>
              <w:bottom w:val="single" w:sz="4" w:color="AAA79E"/>
            </w:tcBorders>
          </w:tcPr>
          <w:p>
            <w:pPr>
              <w:jc w:val="left"/>
            </w:pPr>
            <w:r>
              <w:rPr>
                <w:rFonts w:ascii="Calibri" w:hAnsi="Calibri"/>
                <w:b w:val="0"/>
                <w:i w:val="0"/>
                <w:color w:val="171916"/>
                <w:sz w:val="18"/>
              </w:rPr>
              <w:t>Busy solo creators</w:t>
            </w:r>
          </w:p>
        </w:tc>
      </w:tr>
      <w:tr>
        <w:tc>
          <w:tcPr>
            <w:tcW w:type="dxa" w:w="1900"/>
            <w:tcBorders>
              <w:bottom w:val="single" w:sz="4" w:color="AAA79E"/>
            </w:tcBorders>
          </w:tcPr>
          <w:p>
            <w:pPr>
              <w:jc w:val="left"/>
            </w:pPr>
            <w:r>
              <w:rPr>
                <w:rFonts w:ascii="Calibri" w:hAnsi="Calibri"/>
                <w:b w:val="0"/>
                <w:i w:val="0"/>
                <w:color w:val="171916"/>
                <w:sz w:val="18"/>
              </w:rPr>
              <w:t>Four useful decisions</w:t>
            </w:r>
          </w:p>
        </w:tc>
        <w:tc>
          <w:tcPr>
            <w:tcW w:type="dxa" w:w="4100"/>
            <w:tcBorders>
              <w:bottom w:val="single" w:sz="4" w:color="AAA79E"/>
            </w:tcBorders>
          </w:tcPr>
          <w:p>
            <w:pPr>
              <w:jc w:val="left"/>
            </w:pPr>
            <w:r>
              <w:rPr>
                <w:rFonts w:ascii="Calibri" w:hAnsi="Calibri"/>
                <w:b w:val="0"/>
                <w:i w:val="0"/>
                <w:color w:val="171916"/>
                <w:sz w:val="18"/>
              </w:rPr>
              <w:t>BUILD, PIVOT, KILL, or EVIDENCE GAP is more useful than encouragement.</w:t>
            </w:r>
          </w:p>
        </w:tc>
        <w:tc>
          <w:tcPr>
            <w:tcW w:type="dxa" w:w="3360"/>
            <w:tcBorders>
              <w:bottom w:val="single" w:sz="4" w:color="AAA79E"/>
            </w:tcBorders>
          </w:tcPr>
          <w:p>
            <w:pPr>
              <w:jc w:val="left"/>
            </w:pPr>
            <w:r>
              <w:rPr>
                <w:rFonts w:ascii="Calibri" w:hAnsi="Calibri"/>
                <w:b w:val="0"/>
                <w:i w:val="0"/>
                <w:color w:val="171916"/>
                <w:sz w:val="18"/>
              </w:rPr>
              <w:t>Analytical creators and operators</w:t>
            </w:r>
          </w:p>
        </w:tc>
      </w:tr>
      <w:tr>
        <w:tc>
          <w:tcPr>
            <w:tcW w:type="dxa" w:w="1900"/>
            <w:shd w:fill="FAF7EF"/>
            <w:tcBorders>
              <w:bottom w:val="single" w:sz="4" w:color="AAA79E"/>
            </w:tcBorders>
          </w:tcPr>
          <w:p>
            <w:pPr>
              <w:jc w:val="left"/>
            </w:pPr>
            <w:r>
              <w:rPr>
                <w:rFonts w:ascii="Calibri" w:hAnsi="Calibri"/>
                <w:b w:val="0"/>
                <w:i w:val="0"/>
                <w:color w:val="171916"/>
                <w:sz w:val="18"/>
              </w:rPr>
              <w:t>Evidence vs. confidence</w:t>
            </w:r>
          </w:p>
        </w:tc>
        <w:tc>
          <w:tcPr>
            <w:tcW w:type="dxa" w:w="4100"/>
            <w:shd w:fill="FAF7EF"/>
            <w:tcBorders>
              <w:bottom w:val="single" w:sz="4" w:color="AAA79E"/>
            </w:tcBorders>
          </w:tcPr>
          <w:p>
            <w:pPr>
              <w:jc w:val="left"/>
            </w:pPr>
            <w:r>
              <w:rPr>
                <w:rFonts w:ascii="Calibri" w:hAnsi="Calibri"/>
                <w:b w:val="0"/>
                <w:i w:val="0"/>
                <w:color w:val="171916"/>
                <w:sz w:val="18"/>
              </w:rPr>
              <w:t>A high score with weak evidence is not a green light.</w:t>
            </w:r>
          </w:p>
        </w:tc>
        <w:tc>
          <w:tcPr>
            <w:tcW w:type="dxa" w:w="3360"/>
            <w:shd w:fill="FAF7EF"/>
            <w:tcBorders>
              <w:bottom w:val="single" w:sz="4" w:color="AAA79E"/>
            </w:tcBorders>
          </w:tcPr>
          <w:p>
            <w:pPr>
              <w:jc w:val="left"/>
            </w:pPr>
            <w:r>
              <w:rPr>
                <w:rFonts w:ascii="Calibri" w:hAnsi="Calibri"/>
                <w:b w:val="0"/>
                <w:i w:val="0"/>
                <w:color w:val="171916"/>
                <w:sz w:val="18"/>
              </w:rPr>
              <w:t>Experienced marketers and producers</w:t>
            </w:r>
          </w:p>
        </w:tc>
      </w:tr>
      <w:tr>
        <w:tc>
          <w:tcPr>
            <w:tcW w:type="dxa" w:w="1900"/>
            <w:tcBorders>
              <w:bottom w:val="single" w:sz="4" w:color="AAA79E"/>
            </w:tcBorders>
          </w:tcPr>
          <w:p>
            <w:pPr>
              <w:jc w:val="left"/>
            </w:pPr>
            <w:r>
              <w:rPr>
                <w:rFonts w:ascii="Calibri" w:hAnsi="Calibri"/>
                <w:b w:val="0"/>
                <w:i w:val="0"/>
                <w:color w:val="171916"/>
                <w:sz w:val="18"/>
              </w:rPr>
              <w:t>Before the faceless engine</w:t>
            </w:r>
          </w:p>
        </w:tc>
        <w:tc>
          <w:tcPr>
            <w:tcW w:type="dxa" w:w="4100"/>
            <w:tcBorders>
              <w:bottom w:val="single" w:sz="4" w:color="AAA79E"/>
            </w:tcBorders>
          </w:tcPr>
          <w:p>
            <w:pPr>
              <w:jc w:val="left"/>
            </w:pPr>
            <w:r>
              <w:rPr>
                <w:rFonts w:ascii="Calibri" w:hAnsi="Calibri"/>
                <w:b w:val="0"/>
                <w:i w:val="0"/>
                <w:color w:val="171916"/>
                <w:sz w:val="18"/>
              </w:rPr>
              <w:t>Choose the right offer before creating weeks of content to promote it.</w:t>
            </w:r>
          </w:p>
        </w:tc>
        <w:tc>
          <w:tcPr>
            <w:tcW w:type="dxa" w:w="3360"/>
            <w:tcBorders>
              <w:bottom w:val="single" w:sz="4" w:color="AAA79E"/>
            </w:tcBorders>
          </w:tcPr>
          <w:p>
            <w:pPr>
              <w:jc w:val="left"/>
            </w:pPr>
            <w:r>
              <w:rPr>
                <w:rFonts w:ascii="Calibri" w:hAnsi="Calibri"/>
                <w:b w:val="0"/>
                <w:i w:val="0"/>
                <w:color w:val="171916"/>
                <w:sz w:val="18"/>
              </w:rPr>
              <w:t>Affiliates and faceless creators</w:t>
            </w:r>
          </w:p>
        </w:tc>
      </w:tr>
      <w:tr>
        <w:tc>
          <w:tcPr>
            <w:tcW w:type="dxa" w:w="1900"/>
            <w:shd w:fill="FAF7EF"/>
            <w:tcBorders>
              <w:bottom w:val="single" w:sz="4" w:color="AAA79E"/>
            </w:tcBorders>
          </w:tcPr>
          <w:p>
            <w:pPr>
              <w:jc w:val="left"/>
            </w:pPr>
            <w:r>
              <w:rPr>
                <w:rFonts w:ascii="Calibri" w:hAnsi="Calibri"/>
                <w:b w:val="0"/>
                <w:i w:val="0"/>
                <w:color w:val="171916"/>
                <w:sz w:val="18"/>
              </w:rPr>
              <w:t>Test the offer first</w:t>
            </w:r>
          </w:p>
        </w:tc>
        <w:tc>
          <w:tcPr>
            <w:tcW w:type="dxa" w:w="4100"/>
            <w:shd w:fill="FAF7EF"/>
            <w:tcBorders>
              <w:bottom w:val="single" w:sz="4" w:color="AAA79E"/>
            </w:tcBorders>
          </w:tcPr>
          <w:p>
            <w:pPr>
              <w:jc w:val="left"/>
            </w:pPr>
            <w:r>
              <w:rPr>
                <w:rFonts w:ascii="Calibri" w:hAnsi="Calibri"/>
                <w:b w:val="0"/>
                <w:i w:val="0"/>
                <w:color w:val="171916"/>
                <w:sz w:val="18"/>
              </w:rPr>
              <w:t>Run the smallest credible sell-test before building the complete product.</w:t>
            </w:r>
          </w:p>
        </w:tc>
        <w:tc>
          <w:tcPr>
            <w:tcW w:type="dxa" w:w="3360"/>
            <w:shd w:fill="FAF7EF"/>
            <w:tcBorders>
              <w:bottom w:val="single" w:sz="4" w:color="AAA79E"/>
            </w:tcBorders>
          </w:tcPr>
          <w:p>
            <w:pPr>
              <w:jc w:val="left"/>
            </w:pPr>
            <w:r>
              <w:rPr>
                <w:rFonts w:ascii="Calibri" w:hAnsi="Calibri"/>
                <w:b w:val="0"/>
                <w:i w:val="0"/>
                <w:color w:val="171916"/>
                <w:sz w:val="18"/>
              </w:rPr>
              <w:t>Creators with one plausible idea</w:t>
            </w:r>
          </w:p>
        </w:tc>
      </w:tr>
      <w:tr>
        <w:tc>
          <w:tcPr>
            <w:tcW w:type="dxa" w:w="1900"/>
            <w:tcBorders>
              <w:bottom w:val="single" w:sz="4" w:color="AAA79E"/>
            </w:tcBorders>
          </w:tcPr>
          <w:p>
            <w:pPr>
              <w:jc w:val="left"/>
            </w:pPr>
            <w:r>
              <w:rPr>
                <w:rFonts w:ascii="Calibri" w:hAnsi="Calibri"/>
                <w:b w:val="0"/>
                <w:i w:val="0"/>
                <w:color w:val="171916"/>
                <w:sz w:val="18"/>
              </w:rPr>
              <w:t>Signals, not noise</w:t>
            </w:r>
          </w:p>
        </w:tc>
        <w:tc>
          <w:tcPr>
            <w:tcW w:type="dxa" w:w="4100"/>
            <w:tcBorders>
              <w:bottom w:val="single" w:sz="4" w:color="AAA79E"/>
            </w:tcBorders>
          </w:tcPr>
          <w:p>
            <w:pPr>
              <w:jc w:val="left"/>
            </w:pPr>
            <w:r>
              <w:rPr>
                <w:rFonts w:ascii="Calibri" w:hAnsi="Calibri"/>
                <w:b w:val="0"/>
                <w:i w:val="0"/>
                <w:color w:val="171916"/>
                <w:sz w:val="18"/>
              </w:rPr>
              <w:t>Interest and reactions are not the same as buying evidence.</w:t>
            </w:r>
          </w:p>
        </w:tc>
        <w:tc>
          <w:tcPr>
            <w:tcW w:type="dxa" w:w="3360"/>
            <w:tcBorders>
              <w:bottom w:val="single" w:sz="4" w:color="AAA79E"/>
            </w:tcBorders>
          </w:tcPr>
          <w:p>
            <w:pPr>
              <w:jc w:val="left"/>
            </w:pPr>
            <w:r>
              <w:rPr>
                <w:rFonts w:ascii="Calibri" w:hAnsi="Calibri"/>
                <w:b w:val="0"/>
                <w:i w:val="0"/>
                <w:color w:val="171916"/>
                <w:sz w:val="18"/>
              </w:rPr>
              <w:t>Audience-led creators</w:t>
            </w:r>
          </w:p>
        </w:tc>
      </w:tr>
    </w:tbl>
    <w:p>
      <w:pPr>
        <w:spacing w:after="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285744"/>
              <w:bottom w:val="single" w:sz="4" w:color="AAA79E"/>
              <w:end w:val="single" w:sz="4" w:color="AAA79E"/>
            </w:tcBorders>
          </w:tcPr>
          <w:p>
            <w:r>
              <w:rPr>
                <w:rFonts w:ascii="Calibri" w:hAnsi="Calibri"/>
                <w:b/>
                <w:i w:val="0"/>
                <w:color w:val="285744"/>
                <w:sz w:val="16"/>
              </w:rPr>
              <w:t>RECOMMENDED FIRST ANGLE</w:t>
            </w:r>
          </w:p>
          <w:p>
            <w:pPr>
              <w:spacing w:after="0"/>
            </w:pPr>
            <w:r>
              <w:rPr>
                <w:rFonts w:ascii="Calibri" w:hAnsi="Calibri"/>
                <w:b w:val="0"/>
                <w:i w:val="0"/>
                <w:color w:val="171916"/>
                <w:sz w:val="21"/>
              </w:rPr>
              <w:t>Lead with the AI speed trap. It creates urgency without promising earnings and separates Product Greenlight from generic AI creation tools.</w:t>
            </w:r>
          </w:p>
        </w:tc>
      </w:tr>
    </w:tbl>
    <w:p>
      <w:pPr>
        <w:spacing w:after="40"/>
      </w:pPr>
    </w:p>
    <w:p>
      <w:r>
        <w:br w:type="page"/>
      </w:r>
    </w:p>
    <w:p>
      <w:pPr>
        <w:spacing w:after="100"/>
      </w:pPr>
      <w:r>
        <w:rPr>
          <w:rFonts w:ascii="Calibri" w:hAnsi="Calibri"/>
          <w:b/>
          <w:i w:val="0"/>
          <w:color w:val="285744"/>
          <w:sz w:val="16"/>
        </w:rPr>
        <w:t>EMAIL SWIPES</w:t>
      </w:r>
    </w:p>
    <w:p>
      <w:pPr>
        <w:pStyle w:val="Heading1"/>
      </w:pPr>
      <w:r>
        <w:t>Email 1 and Email 2</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EMAIL 1 - THE AI SPEED TRAP</w:t>
            </w:r>
          </w:p>
          <w:p>
            <w:pPr>
              <w:spacing w:after="0"/>
            </w:pPr>
            <w:r>
              <w:rPr>
                <w:rFonts w:ascii="Calibri" w:hAnsi="Calibri"/>
                <w:b w:val="0"/>
                <w:i w:val="0"/>
                <w:color w:val="171916"/>
                <w:sz w:val="21"/>
              </w:rPr>
              <w:t>SUBJECT: AI can help you build the wrong product faster</w:t>
              <w:br/>
              <w:br/>
              <w:t>AI can outline, write, and package a digital product in days. But speed does not answer the first question: should this product be built at all?</w:t>
              <w:br/>
              <w:br/>
              <w:t>Product Greenlight helps you evaluate one idea across seven commercial dimensions, record observable evidence, and make a clearer BUILD, PIVOT, KILL, or EVIDENCE GAP decision before production absorbs your time.</w:t>
              <w:br/>
              <w:br/>
              <w:t>See the complete system here: [INSERT YOUR JVZOO AFFILIATE LINK]</w:t>
              <w:br/>
              <w:br/>
              <w:t>Disclosure: I may receive a commission if you purchase through this link.</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EMAIL 2 - A SCORE IS NOT EVIDENCE</w:t>
            </w:r>
          </w:p>
          <w:p>
            <w:pPr>
              <w:spacing w:after="0"/>
            </w:pPr>
            <w:r>
              <w:rPr>
                <w:rFonts w:ascii="Calibri" w:hAnsi="Calibri"/>
                <w:b w:val="0"/>
                <w:i w:val="0"/>
                <w:color w:val="171916"/>
                <w:sz w:val="21"/>
              </w:rPr>
              <w:t>SUBJECT: A promising product score can still be wrong</w:t>
              <w:br/>
              <w:br/>
              <w:t>A product idea can earn a high score because the language sounds convincing - not because the market evidence is strong. Product Greenlight adds confidence weighting and risk gates to the opportunity score.</w:t>
              <w:br/>
              <w:br/>
              <w:t>The result is not just a number. It is a documented next action, success metric, and stop rule.</w:t>
              <w:br/>
              <w:br/>
              <w:t>Explore Product Greenlight: [INSERT YOUR JVZOO AFFILIATE LINK]</w:t>
              <w:br/>
              <w:br/>
              <w:t>Disclosure: I may receive a commission if you purchase through this link.</w:t>
            </w:r>
          </w:p>
        </w:tc>
      </w:tr>
    </w:tbl>
    <w:p>
      <w:pPr>
        <w:spacing w:after="40"/>
      </w:pPr>
    </w:p>
    <w:p>
      <w:r>
        <w:br w:type="page"/>
      </w:r>
    </w:p>
    <w:p>
      <w:pPr>
        <w:spacing w:after="100"/>
      </w:pPr>
      <w:r>
        <w:rPr>
          <w:rFonts w:ascii="Calibri" w:hAnsi="Calibri"/>
          <w:b/>
          <w:i w:val="0"/>
          <w:color w:val="285744"/>
          <w:sz w:val="16"/>
        </w:rPr>
        <w:t>EMAIL SWIPES / CONTINUED</w:t>
      </w:r>
    </w:p>
    <w:p>
      <w:pPr>
        <w:pStyle w:val="Heading1"/>
      </w:pPr>
      <w:r>
        <w:t>Email 3 and Email 4</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EMAIL 3 - FOUR DECISIONS</w:t>
            </w:r>
          </w:p>
          <w:p>
            <w:pPr>
              <w:spacing w:after="0"/>
            </w:pPr>
            <w:r>
              <w:rPr>
                <w:rFonts w:ascii="Calibri" w:hAnsi="Calibri"/>
                <w:b w:val="0"/>
                <w:i w:val="0"/>
                <w:color w:val="171916"/>
                <w:sz w:val="21"/>
              </w:rPr>
              <w:t>SUBJECT: Your product idea needs one of four decisions</w:t>
              <w:br/>
              <w:br/>
              <w:t>BUILD when the opportunity and evidence are strong. PIVOT when a specific variable is weak. KILL when a fatal risk appears. Use EVIDENCE GAP when the idea sounds promising but the proof is thin.</w:t>
              <w:br/>
              <w:br/>
              <w:t>Product Greenlight gives you the workbook, scoring logic, confidence layer, and 48-hour test planner to make that decision before full production.</w:t>
              <w:br/>
              <w:br/>
              <w:t>See what is included: [INSERT YOUR JVZOO AFFILIATE LINK]</w:t>
              <w:br/>
              <w:br/>
              <w:t>Disclosure: I may receive a commission if you purchase through this link.</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EMAIL 4 - THE 60-MINUTE PASS</w:t>
            </w:r>
          </w:p>
          <w:p>
            <w:pPr>
              <w:spacing w:after="0"/>
            </w:pPr>
            <w:r>
              <w:rPr>
                <w:rFonts w:ascii="Calibri" w:hAnsi="Calibri"/>
                <w:b w:val="0"/>
                <w:i w:val="0"/>
                <w:color w:val="171916"/>
                <w:sz w:val="21"/>
              </w:rPr>
              <w:t>SUBJECT: Give your next idea 60 minutes before 60 hours</w:t>
              <w:br/>
              <w:br/>
              <w:t>Start with one product hypothesis. Capture evidence. Score seven dimensions. Weight confidence. Check the risk gates. Then choose the smallest next test.</w:t>
              <w:br/>
              <w:br/>
              <w:t>You are not trying to predict the future. You are trying to avoid an expensive unforced error.</w:t>
              <w:br/>
              <w:br/>
              <w:t>Start with Product Greenlight: [INSERT YOUR JVZOO AFFILIATE LINK]</w:t>
              <w:br/>
              <w:br/>
              <w:t>Disclosure: I may receive a commission if you purchase through this link.</w:t>
            </w:r>
          </w:p>
        </w:tc>
      </w:tr>
    </w:tbl>
    <w:p>
      <w:pPr>
        <w:spacing w:after="40"/>
      </w:pPr>
    </w:p>
    <w:p>
      <w:r>
        <w:br w:type="page"/>
      </w:r>
    </w:p>
    <w:p>
      <w:pPr>
        <w:spacing w:after="100"/>
      </w:pPr>
      <w:r>
        <w:rPr>
          <w:rFonts w:ascii="Calibri" w:hAnsi="Calibri"/>
          <w:b/>
          <w:i w:val="0"/>
          <w:color w:val="285744"/>
          <w:sz w:val="16"/>
        </w:rPr>
        <w:t>EMAIL SWIPES / CONTINUED</w:t>
      </w:r>
    </w:p>
    <w:p>
      <w:pPr>
        <w:pStyle w:val="Heading1"/>
      </w:pPr>
      <w:r>
        <w:t>Email 5 - Offer</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EMAIL 5 - FOUNDING OFFER</w:t>
            </w:r>
          </w:p>
          <w:p>
            <w:pPr>
              <w:spacing w:after="0"/>
            </w:pPr>
            <w:r>
              <w:rPr>
                <w:rFonts w:ascii="Calibri" w:hAnsi="Calibri"/>
                <w:b w:val="0"/>
                <w:i w:val="0"/>
                <w:color w:val="171916"/>
                <w:sz w:val="21"/>
              </w:rPr>
              <w:t>SUBJECT: Decide before you build</w:t>
              <w:br/>
              <w:br/>
              <w:t>The Product Greenlight System includes the Core Guide, Quick Start, editable Evidence Board, AI Research Companion, 48-Hour Sell Test Planner, calibration examples, and an interactive decision tool.</w:t>
              <w:br/>
              <w:br/>
              <w:t>Founding access is US$27 one-time. No subscription. The system is designed to help you reach a clearer next decision - it does not guarantee income, sales, or success.</w:t>
              <w:br/>
              <w:br/>
              <w:t>Review the complete offer: [INSERT YOUR JVZOO AFFILIATE LINK]</w:t>
              <w:br/>
              <w:br/>
              <w:t>Disclosure: I may receive a commission if you purchase through this link.</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A7681B"/>
              <w:bottom w:val="single" w:sz="4" w:color="AAA79E"/>
              <w:end w:val="single" w:sz="4" w:color="AAA79E"/>
            </w:tcBorders>
          </w:tcPr>
          <w:p>
            <w:r>
              <w:rPr>
                <w:rFonts w:ascii="Calibri" w:hAnsi="Calibri"/>
                <w:b/>
                <w:i w:val="0"/>
                <w:color w:val="A7681B"/>
                <w:sz w:val="16"/>
              </w:rPr>
              <w:t>SCARCITY RULE</w:t>
            </w:r>
          </w:p>
          <w:p>
            <w:pPr>
              <w:spacing w:after="0"/>
            </w:pPr>
            <w:r>
              <w:rPr>
                <w:rFonts w:ascii="Calibri" w:hAnsi="Calibri"/>
                <w:b w:val="0"/>
                <w:i w:val="0"/>
                <w:color w:val="171916"/>
                <w:sz w:val="21"/>
              </w:rPr>
              <w:t>Do not say the price ends soon unless an actual public deadline has been scheduled. Remove all deadline language when no real deadline exists.</w:t>
            </w:r>
          </w:p>
        </w:tc>
      </w:tr>
    </w:tbl>
    <w:p>
      <w:pPr>
        <w:spacing w:after="40"/>
      </w:pPr>
    </w:p>
    <w:p>
      <w:r>
        <w:br w:type="page"/>
      </w:r>
    </w:p>
    <w:p>
      <w:pPr>
        <w:spacing w:after="100"/>
      </w:pPr>
      <w:r>
        <w:rPr>
          <w:rFonts w:ascii="Calibri" w:hAnsi="Calibri"/>
          <w:b/>
          <w:i w:val="0"/>
          <w:color w:val="285744"/>
          <w:sz w:val="16"/>
        </w:rPr>
        <w:t>SOCIAL SWIPES</w:t>
      </w:r>
    </w:p>
    <w:p>
      <w:pPr>
        <w:pStyle w:val="Heading1"/>
      </w:pPr>
      <w:r>
        <w:t>Posts 1-4</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1</w:t>
            </w:r>
          </w:p>
          <w:p>
            <w:pPr>
              <w:spacing w:after="0"/>
            </w:pPr>
            <w:r>
              <w:rPr>
                <w:rFonts w:ascii="Calibri" w:hAnsi="Calibri"/>
                <w:b w:val="0"/>
                <w:i w:val="0"/>
                <w:color w:val="171916"/>
                <w:sz w:val="21"/>
              </w:rPr>
              <w:t>Most creators do not have a content problem. They have a decision problem. AI made building faster - and made it easier to build the wrong thing beautifully.</w:t>
              <w:br/>
              <w:br/>
              <w:t>Product Greenlight System: [INSERT YOUR JVZOO AFFILIATE LINK]</w:t>
              <w:br/>
              <w:t>Affiliate disclosure: I may earn a commission from qualifying purchases.</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2</w:t>
            </w:r>
          </w:p>
          <w:p>
            <w:pPr>
              <w:spacing w:after="0"/>
            </w:pPr>
            <w:r>
              <w:rPr>
                <w:rFonts w:ascii="Calibri" w:hAnsi="Calibri"/>
                <w:b w:val="0"/>
                <w:i w:val="0"/>
                <w:color w:val="171916"/>
                <w:sz w:val="21"/>
              </w:rPr>
              <w:t>Before building a digital product, ask: Is the problem clear? Can I reach the buyer? Is there evidence? Do the economics work? Is the difference meaningful? Can I deliver? Can I test it quickly?</w:t>
              <w:br/>
              <w:br/>
              <w:t>Product Greenlight System: [INSERT YOUR JVZOO AFFILIATE LINK]</w:t>
              <w:br/>
              <w:t>Affiliate disclosure: I may earn a commission from qualifying purchases.</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3</w:t>
            </w:r>
          </w:p>
          <w:p>
            <w:pPr>
              <w:spacing w:after="0"/>
            </w:pPr>
            <w:r>
              <w:rPr>
                <w:rFonts w:ascii="Calibri" w:hAnsi="Calibri"/>
                <w:b w:val="0"/>
                <w:i w:val="0"/>
                <w:color w:val="171916"/>
                <w:sz w:val="21"/>
              </w:rPr>
              <w:t>A high opportunity score with weak evidence is not a green light. It is an EVIDENCE GAP.</w:t>
              <w:br/>
              <w:br/>
              <w:t>Product Greenlight System: [INSERT YOUR JVZOO AFFILIATE LINK]</w:t>
              <w:br/>
              <w:t>Affiliate disclosure: I may earn a commission from qualifying purchases.</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4</w:t>
            </w:r>
          </w:p>
          <w:p>
            <w:pPr>
              <w:spacing w:after="0"/>
            </w:pPr>
            <w:r>
              <w:rPr>
                <w:rFonts w:ascii="Calibri" w:hAnsi="Calibri"/>
                <w:b w:val="0"/>
                <w:i w:val="0"/>
                <w:color w:val="171916"/>
                <w:sz w:val="21"/>
              </w:rPr>
              <w:t>The goal of research is not to prove the idea is good. It is to discover what could make the idea fail before the market does.</w:t>
              <w:br/>
              <w:br/>
              <w:t>Product Greenlight System: [INSERT YOUR JVZOO AFFILIATE LINK]</w:t>
              <w:br/>
              <w:t>Affiliate disclosure: I may earn a commission from qualifying purchases.</w:t>
            </w:r>
          </w:p>
        </w:tc>
      </w:tr>
    </w:tbl>
    <w:p>
      <w:pPr>
        <w:spacing w:after="40"/>
      </w:pPr>
    </w:p>
    <w:p>
      <w:r>
        <w:br w:type="page"/>
      </w:r>
    </w:p>
    <w:p>
      <w:pPr>
        <w:spacing w:after="100"/>
      </w:pPr>
      <w:r>
        <w:rPr>
          <w:rFonts w:ascii="Calibri" w:hAnsi="Calibri"/>
          <w:b/>
          <w:i w:val="0"/>
          <w:color w:val="285744"/>
          <w:sz w:val="16"/>
        </w:rPr>
        <w:t>SOCIAL SWIPES / CONTINUED</w:t>
      </w:r>
    </w:p>
    <w:p>
      <w:pPr>
        <w:pStyle w:val="Heading1"/>
      </w:pPr>
      <w:r>
        <w:t>Posts 5-8</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5</w:t>
            </w:r>
          </w:p>
          <w:p>
            <w:pPr>
              <w:spacing w:after="0"/>
            </w:pPr>
            <w:r>
              <w:rPr>
                <w:rFonts w:ascii="Calibri" w:hAnsi="Calibri"/>
                <w:b w:val="0"/>
                <w:i w:val="0"/>
                <w:color w:val="171916"/>
                <w:sz w:val="21"/>
              </w:rPr>
              <w:t>BUILD, PIVOT, KILL, or EVIDENCE GAP. Four decisions are more useful than another AI-generated report that tells you every idea has potential.</w:t>
              <w:br/>
              <w:br/>
              <w:t>Product Greenlight System: [INSERT YOUR JVZOO AFFILIATE LINK]</w:t>
              <w:br/>
              <w:t>Affiliate disclosure: I may earn a commission from qualifying purchases.</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6</w:t>
            </w:r>
          </w:p>
          <w:p>
            <w:pPr>
              <w:spacing w:after="0"/>
            </w:pPr>
            <w:r>
              <w:rPr>
                <w:rFonts w:ascii="Calibri" w:hAnsi="Calibri"/>
                <w:b w:val="0"/>
                <w:i w:val="0"/>
                <w:color w:val="171916"/>
                <w:sz w:val="21"/>
              </w:rPr>
              <w:t>If the riskiest assumption cannot be tested in 48 hours, the test may be too large. Shrink the commitment, not the learning.</w:t>
              <w:br/>
              <w:br/>
              <w:t>Product Greenlight System: [INSERT YOUR JVZOO AFFILIATE LINK]</w:t>
              <w:br/>
              <w:t>Affiliate disclosure: I may earn a commission from qualifying purchases.</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7</w:t>
            </w:r>
          </w:p>
          <w:p>
            <w:pPr>
              <w:spacing w:after="0"/>
            </w:pPr>
            <w:r>
              <w:rPr>
                <w:rFonts w:ascii="Calibri" w:hAnsi="Calibri"/>
                <w:b w:val="0"/>
                <w:i w:val="0"/>
                <w:color w:val="171916"/>
                <w:sz w:val="21"/>
              </w:rPr>
              <w:t>Give your next product idea 60 minutes before you give it 60 hours.</w:t>
              <w:br/>
              <w:br/>
              <w:t>Product Greenlight System: [INSERT YOUR JVZOO AFFILIATE LINK]</w:t>
              <w:br/>
              <w:t>Affiliate disclosure: I may earn a commission from qualifying purchases.</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8</w:t>
            </w:r>
          </w:p>
          <w:p>
            <w:pPr>
              <w:spacing w:after="0"/>
            </w:pPr>
            <w:r>
              <w:rPr>
                <w:rFonts w:ascii="Calibri" w:hAnsi="Calibri"/>
                <w:b w:val="0"/>
                <w:i w:val="0"/>
                <w:color w:val="171916"/>
                <w:sz w:val="21"/>
              </w:rPr>
              <w:t>Choose the offer before creating weeks of faceless content to promote it. Evidence first. Creation second.</w:t>
              <w:br/>
              <w:br/>
              <w:t>Product Greenlight System: [INSERT YOUR JVZOO AFFILIATE LINK]</w:t>
              <w:br/>
              <w:t>Affiliate disclosure: I may earn a commission from qualifying purchases.</w:t>
            </w:r>
          </w:p>
        </w:tc>
      </w:tr>
    </w:tbl>
    <w:p>
      <w:pPr>
        <w:spacing w:after="40"/>
      </w:pPr>
    </w:p>
    <w:p>
      <w:r>
        <w:br w:type="page"/>
      </w:r>
    </w:p>
    <w:p>
      <w:pPr>
        <w:spacing w:after="100"/>
      </w:pPr>
      <w:r>
        <w:rPr>
          <w:rFonts w:ascii="Calibri" w:hAnsi="Calibri"/>
          <w:b/>
          <w:i w:val="0"/>
          <w:color w:val="285744"/>
          <w:sz w:val="16"/>
        </w:rPr>
        <w:t>SOCIAL SWIPES / CONTINUED</w:t>
      </w:r>
    </w:p>
    <w:p>
      <w:pPr>
        <w:pStyle w:val="Heading1"/>
      </w:pPr>
      <w:r>
        <w:t>Posts 9-10</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9</w:t>
            </w:r>
          </w:p>
          <w:p>
            <w:pPr>
              <w:spacing w:after="0"/>
            </w:pPr>
            <w:r>
              <w:rPr>
                <w:rFonts w:ascii="Calibri" w:hAnsi="Calibri"/>
                <w:b w:val="0"/>
                <w:i w:val="0"/>
                <w:color w:val="171916"/>
                <w:sz w:val="21"/>
              </w:rPr>
              <w:t>Confidence can come from persuasive language. Evidence comes from observable behavior. Do not confuse the two.</w:t>
              <w:br/>
              <w:br/>
              <w:t>Product Greenlight System: [INSERT YOUR JVZOO AFFILIATE LINK]</w:t>
              <w:br/>
              <w:t>Affiliate disclosure: I may earn a commission from qualifying purchases.</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POST 10</w:t>
            </w:r>
          </w:p>
          <w:p>
            <w:pPr>
              <w:spacing w:after="0"/>
            </w:pPr>
            <w:r>
              <w:rPr>
                <w:rFonts w:ascii="Calibri" w:hAnsi="Calibri"/>
                <w:b w:val="0"/>
                <w:i w:val="0"/>
                <w:color w:val="171916"/>
                <w:sz w:val="21"/>
              </w:rPr>
              <w:t>Likes, reactions, and encouraging comments can support research. They are not the same as someone taking a buying action.</w:t>
              <w:br/>
              <w:br/>
              <w:t>Product Greenlight System: [INSERT YOUR JVZOO AFFILIATE LINK]</w:t>
              <w:br/>
              <w:t>Affiliate disclosure: I may earn a commission from qualifying purchases.</w:t>
            </w:r>
          </w:p>
        </w:tc>
      </w:tr>
    </w:tbl>
    <w:p>
      <w:pPr>
        <w:spacing w:after="40"/>
      </w:pPr>
    </w:p>
    <w:p>
      <w:r>
        <w:br w:type="page"/>
      </w:r>
    </w:p>
    <w:p>
      <w:pPr>
        <w:spacing w:after="100"/>
      </w:pPr>
      <w:r>
        <w:rPr>
          <w:rFonts w:ascii="Calibri" w:hAnsi="Calibri"/>
          <w:b/>
          <w:i w:val="0"/>
          <w:color w:val="285744"/>
          <w:sz w:val="16"/>
        </w:rPr>
        <w:t>SHORT-FORM VIDEO</w:t>
      </w:r>
    </w:p>
    <w:p>
      <w:pPr>
        <w:pStyle w:val="Heading1"/>
      </w:pPr>
      <w:r>
        <w:t>Three 35-45 second scripts</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VIDEO 1 - THE AI TRAP</w:t>
            </w:r>
          </w:p>
          <w:p>
            <w:pPr>
              <w:spacing w:after="0"/>
            </w:pPr>
            <w:r>
              <w:rPr>
                <w:rFonts w:ascii="Calibri" w:hAnsi="Calibri"/>
                <w:b w:val="0"/>
                <w:i w:val="0"/>
                <w:color w:val="171916"/>
                <w:sz w:val="21"/>
              </w:rPr>
              <w:t>HOOK: AI did not remove product risk. It made the wrong product faster to build.</w:t>
              <w:br/>
              <w:br/>
              <w:t>BODY: Before asking AI to write an e-book or course, score the idea across the problem, reachability, evidence, economics, difference, delivery, and testability. Then check how confident the evidence actually is.</w:t>
              <w:br/>
              <w:br/>
              <w:t>CTA: Product Greenlight gives you the workbook and decision rules. Link in bio.</w:t>
              <w:br/>
              <w:br/>
              <w:t>ON-SCREEN DISCLOSURE: Affiliate link.</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VIDEO 2 - FOUR DECISIONS</w:t>
            </w:r>
          </w:p>
          <w:p>
            <w:pPr>
              <w:spacing w:after="0"/>
            </w:pPr>
            <w:r>
              <w:rPr>
                <w:rFonts w:ascii="Calibri" w:hAnsi="Calibri"/>
                <w:b w:val="0"/>
                <w:i w:val="0"/>
                <w:color w:val="171916"/>
                <w:sz w:val="21"/>
              </w:rPr>
              <w:t>HOOK: Your product idea does not need encouragement. It needs one of four decisions.</w:t>
              <w:br/>
              <w:br/>
              <w:t>BODY: BUILD, PIVOT, KILL, or EVIDENCE GAP. Product Greenlight helps you document the evidence and choose the smallest next test before full production.</w:t>
              <w:br/>
              <w:br/>
              <w:t>CTA: See the system through the link in my bio.</w:t>
              <w:br/>
              <w:br/>
              <w:t>ON-SCREEN DISCLOSURE: Affiliate link.</w:t>
            </w:r>
          </w:p>
        </w:tc>
      </w:tr>
    </w:tbl>
    <w:p>
      <w:pPr>
        <w:spacing w:after="4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VIDEO 3 - THE 60-MINUTE PASS</w:t>
            </w:r>
          </w:p>
          <w:p>
            <w:pPr>
              <w:spacing w:after="0"/>
            </w:pPr>
            <w:r>
              <w:rPr>
                <w:rFonts w:ascii="Calibri" w:hAnsi="Calibri"/>
                <w:b w:val="0"/>
                <w:i w:val="0"/>
                <w:color w:val="171916"/>
                <w:sz w:val="21"/>
              </w:rPr>
              <w:t>HOOK: Give your next product idea 60 minutes before you give it 60 hours.</w:t>
              <w:br/>
              <w:br/>
              <w:t>BODY: Frame one hypothesis, capture evidence, score seven dimensions, weight confidence, and choose the next smallest test. The goal is not certainty. It is a better first decision.</w:t>
              <w:br/>
              <w:br/>
              <w:t>CTA: Start with Product Greenlight. Link in bio.</w:t>
              <w:br/>
              <w:br/>
              <w:t>ON-SCREEN DISCLOSURE: Affiliate link.</w:t>
            </w:r>
          </w:p>
        </w:tc>
      </w:tr>
    </w:tbl>
    <w:p>
      <w:pPr>
        <w:spacing w:after="40"/>
      </w:pPr>
    </w:p>
    <w:p>
      <w:r>
        <w:br w:type="page"/>
      </w:r>
    </w:p>
    <w:p>
      <w:pPr>
        <w:spacing w:after="100"/>
      </w:pPr>
      <w:r>
        <w:rPr>
          <w:rFonts w:ascii="Calibri" w:hAnsi="Calibri"/>
          <w:b/>
          <w:i w:val="0"/>
          <w:color w:val="285744"/>
          <w:sz w:val="16"/>
        </w:rPr>
        <w:t>COMPLIANCE</w:t>
      </w:r>
    </w:p>
    <w:p>
      <w:pPr>
        <w:pStyle w:val="Heading1"/>
      </w:pPr>
      <w:r>
        <w:t>Approved claims and prohibited claims</w:t>
      </w:r>
    </w:p>
    <w:tbl>
      <w:tblPr>
        <w:tblW w:type="dxa" w:w="9360"/>
        <w:jc w:val="left"/>
        <w:tblLayout w:type="fixed"/>
        <w:tblLook w:firstColumn="1" w:firstRow="1" w:lastColumn="0" w:lastRow="0" w:noHBand="0" w:noVBand="1" w:val="04A0"/>
        <w:tblInd w:w="120" w:type="dxa"/>
      </w:tblPr>
      <w:tblGrid>
        <w:gridCol w:w="4680"/>
        <w:gridCol w:w="4680"/>
      </w:tblGrid>
      <w:tr>
        <w:trPr>
          <w:tblHeader w:val="true"/>
        </w:trPr>
        <w:tc>
          <w:tcPr>
            <w:tcW w:type="dxa" w:w="4680"/>
            <w:vAlign w:val="center"/>
            <w:tcMar>
              <w:top w:w="100" w:type="dxa"/>
              <w:start w:w="120" w:type="dxa"/>
              <w:bottom w:w="100" w:type="dxa"/>
              <w:end w:w="120" w:type="dxa"/>
            </w:tcMar>
            <w:shd w:fill="173B2D"/>
          </w:tcPr>
          <w:p>
            <w:pPr>
              <w:jc w:val="left"/>
            </w:pPr>
            <w:r>
              <w:rPr>
                <w:rFonts w:ascii="Calibri" w:hAnsi="Calibri"/>
                <w:b/>
                <w:i w:val="0"/>
                <w:color w:val="FFFFFF"/>
                <w:sz w:val="17"/>
              </w:rPr>
              <w:t>Approved</w:t>
            </w:r>
          </w:p>
        </w:tc>
        <w:tc>
          <w:tcPr>
            <w:tcW w:type="dxa" w:w="4680"/>
            <w:vAlign w:val="center"/>
            <w:tcMar>
              <w:top w:w="100" w:type="dxa"/>
              <w:start w:w="120" w:type="dxa"/>
              <w:bottom w:w="100" w:type="dxa"/>
              <w:end w:w="120" w:type="dxa"/>
            </w:tcMar>
            <w:shd w:fill="173B2D"/>
          </w:tcPr>
          <w:p>
            <w:pPr>
              <w:jc w:val="left"/>
            </w:pPr>
            <w:r>
              <w:rPr>
                <w:rFonts w:ascii="Calibri" w:hAnsi="Calibri"/>
                <w:b/>
                <w:i w:val="0"/>
                <w:color w:val="FFFFFF"/>
                <w:sz w:val="17"/>
              </w:rPr>
              <w:t>Prohibited</w:t>
            </w:r>
          </w:p>
        </w:tc>
      </w:tr>
      <w:tr>
        <w:tc>
          <w:tcPr>
            <w:tcW w:type="dxa" w:w="4680"/>
            <w:tcBorders>
              <w:bottom w:val="single" w:sz="4" w:color="AAA79E"/>
            </w:tcBorders>
          </w:tcPr>
          <w:p>
            <w:pPr>
              <w:jc w:val="left"/>
            </w:pPr>
            <w:r>
              <w:rPr>
                <w:rFonts w:ascii="Calibri" w:hAnsi="Calibri"/>
                <w:b w:val="0"/>
                <w:i w:val="0"/>
                <w:color w:val="171916"/>
                <w:sz w:val="18"/>
              </w:rPr>
              <w:t>Helps structure product validation</w:t>
            </w:r>
          </w:p>
        </w:tc>
        <w:tc>
          <w:tcPr>
            <w:tcW w:type="dxa" w:w="4680"/>
            <w:tcBorders>
              <w:bottom w:val="single" w:sz="4" w:color="AAA79E"/>
            </w:tcBorders>
          </w:tcPr>
          <w:p>
            <w:pPr>
              <w:jc w:val="left"/>
            </w:pPr>
            <w:r>
              <w:rPr>
                <w:rFonts w:ascii="Calibri" w:hAnsi="Calibri"/>
                <w:b w:val="0"/>
                <w:i w:val="0"/>
                <w:color w:val="171916"/>
                <w:sz w:val="18"/>
              </w:rPr>
              <w:t>Guarantees product validation</w:t>
            </w:r>
          </w:p>
        </w:tc>
      </w:tr>
      <w:tr>
        <w:tc>
          <w:tcPr>
            <w:tcW w:type="dxa" w:w="4680"/>
            <w:shd w:fill="FAF7EF"/>
            <w:tcBorders>
              <w:bottom w:val="single" w:sz="4" w:color="AAA79E"/>
            </w:tcBorders>
          </w:tcPr>
          <w:p>
            <w:pPr>
              <w:jc w:val="left"/>
            </w:pPr>
            <w:r>
              <w:rPr>
                <w:rFonts w:ascii="Calibri" w:hAnsi="Calibri"/>
                <w:b w:val="0"/>
                <w:i w:val="0"/>
                <w:color w:val="171916"/>
                <w:sz w:val="18"/>
              </w:rPr>
              <w:t>Supports a clearer next decision</w:t>
            </w:r>
          </w:p>
        </w:tc>
        <w:tc>
          <w:tcPr>
            <w:tcW w:type="dxa" w:w="4680"/>
            <w:shd w:fill="FAF7EF"/>
            <w:tcBorders>
              <w:bottom w:val="single" w:sz="4" w:color="AAA79E"/>
            </w:tcBorders>
          </w:tcPr>
          <w:p>
            <w:pPr>
              <w:jc w:val="left"/>
            </w:pPr>
            <w:r>
              <w:rPr>
                <w:rFonts w:ascii="Calibri" w:hAnsi="Calibri"/>
                <w:b w:val="0"/>
                <w:i w:val="0"/>
                <w:color w:val="171916"/>
                <w:sz w:val="18"/>
              </w:rPr>
              <w:t>Guarantees the correct decision</w:t>
            </w:r>
          </w:p>
        </w:tc>
      </w:tr>
      <w:tr>
        <w:tc>
          <w:tcPr>
            <w:tcW w:type="dxa" w:w="4680"/>
            <w:tcBorders>
              <w:bottom w:val="single" w:sz="4" w:color="AAA79E"/>
            </w:tcBorders>
          </w:tcPr>
          <w:p>
            <w:pPr>
              <w:jc w:val="left"/>
            </w:pPr>
            <w:r>
              <w:rPr>
                <w:rFonts w:ascii="Calibri" w:hAnsi="Calibri"/>
                <w:b w:val="0"/>
                <w:i w:val="0"/>
                <w:color w:val="171916"/>
                <w:sz w:val="18"/>
              </w:rPr>
              <w:t>Helps expose weak assumptions</w:t>
            </w:r>
          </w:p>
        </w:tc>
        <w:tc>
          <w:tcPr>
            <w:tcW w:type="dxa" w:w="4680"/>
            <w:tcBorders>
              <w:bottom w:val="single" w:sz="4" w:color="AAA79E"/>
            </w:tcBorders>
          </w:tcPr>
          <w:p>
            <w:pPr>
              <w:jc w:val="left"/>
            </w:pPr>
            <w:r>
              <w:rPr>
                <w:rFonts w:ascii="Calibri" w:hAnsi="Calibri"/>
                <w:b w:val="0"/>
                <w:i w:val="0"/>
                <w:color w:val="171916"/>
                <w:sz w:val="18"/>
              </w:rPr>
              <w:t>Guarantees sales or profitability</w:t>
            </w:r>
          </w:p>
        </w:tc>
      </w:tr>
      <w:tr>
        <w:tc>
          <w:tcPr>
            <w:tcW w:type="dxa" w:w="4680"/>
            <w:shd w:fill="FAF7EF"/>
            <w:tcBorders>
              <w:bottom w:val="single" w:sz="4" w:color="AAA79E"/>
            </w:tcBorders>
          </w:tcPr>
          <w:p>
            <w:pPr>
              <w:jc w:val="left"/>
            </w:pPr>
            <w:r>
              <w:rPr>
                <w:rFonts w:ascii="Calibri" w:hAnsi="Calibri"/>
                <w:b w:val="0"/>
                <w:i w:val="0"/>
                <w:color w:val="171916"/>
                <w:sz w:val="18"/>
              </w:rPr>
              <w:t>Includes a guided 60-minute first pass</w:t>
            </w:r>
          </w:p>
        </w:tc>
        <w:tc>
          <w:tcPr>
            <w:tcW w:type="dxa" w:w="4680"/>
            <w:shd w:fill="FAF7EF"/>
            <w:tcBorders>
              <w:bottom w:val="single" w:sz="4" w:color="AAA79E"/>
            </w:tcBorders>
          </w:tcPr>
          <w:p>
            <w:pPr>
              <w:jc w:val="left"/>
            </w:pPr>
            <w:r>
              <w:rPr>
                <w:rFonts w:ascii="Calibri" w:hAnsi="Calibri"/>
                <w:b w:val="0"/>
                <w:i w:val="0"/>
                <w:color w:val="171916"/>
                <w:sz w:val="18"/>
              </w:rPr>
              <w:t>Creates a successful business in 60 minutes</w:t>
            </w:r>
          </w:p>
        </w:tc>
      </w:tr>
      <w:tr>
        <w:tc>
          <w:tcPr>
            <w:tcW w:type="dxa" w:w="4680"/>
            <w:tcBorders>
              <w:bottom w:val="single" w:sz="4" w:color="AAA79E"/>
            </w:tcBorders>
          </w:tcPr>
          <w:p>
            <w:pPr>
              <w:jc w:val="left"/>
            </w:pPr>
            <w:r>
              <w:rPr>
                <w:rFonts w:ascii="Calibri" w:hAnsi="Calibri"/>
                <w:b w:val="0"/>
                <w:i w:val="0"/>
                <w:color w:val="171916"/>
                <w:sz w:val="18"/>
              </w:rPr>
              <w:t>Includes AI-assisted research prompts</w:t>
            </w:r>
          </w:p>
        </w:tc>
        <w:tc>
          <w:tcPr>
            <w:tcW w:type="dxa" w:w="4680"/>
            <w:tcBorders>
              <w:bottom w:val="single" w:sz="4" w:color="AAA79E"/>
            </w:tcBorders>
          </w:tcPr>
          <w:p>
            <w:pPr>
              <w:jc w:val="left"/>
            </w:pPr>
            <w:r>
              <w:rPr>
                <w:rFonts w:ascii="Calibri" w:hAnsi="Calibri"/>
                <w:b w:val="0"/>
                <w:i w:val="0"/>
                <w:color w:val="171916"/>
                <w:sz w:val="18"/>
              </w:rPr>
              <w:t>AI performs complete market validation for you</w:t>
            </w:r>
          </w:p>
        </w:tc>
      </w:tr>
      <w:tr>
        <w:tc>
          <w:tcPr>
            <w:tcW w:type="dxa" w:w="4680"/>
            <w:shd w:fill="FAF7EF"/>
            <w:tcBorders>
              <w:bottom w:val="single" w:sz="4" w:color="AAA79E"/>
            </w:tcBorders>
          </w:tcPr>
          <w:p>
            <w:pPr>
              <w:jc w:val="left"/>
            </w:pPr>
            <w:r>
              <w:rPr>
                <w:rFonts w:ascii="Calibri" w:hAnsi="Calibri"/>
                <w:b w:val="0"/>
                <w:i w:val="0"/>
                <w:color w:val="171916"/>
                <w:sz w:val="18"/>
              </w:rPr>
              <w:t>Designed to reduce avoidable product risk</w:t>
            </w:r>
          </w:p>
        </w:tc>
        <w:tc>
          <w:tcPr>
            <w:tcW w:type="dxa" w:w="4680"/>
            <w:shd w:fill="FAF7EF"/>
            <w:tcBorders>
              <w:bottom w:val="single" w:sz="4" w:color="AAA79E"/>
            </w:tcBorders>
          </w:tcPr>
          <w:p>
            <w:pPr>
              <w:jc w:val="left"/>
            </w:pPr>
            <w:r>
              <w:rPr>
                <w:rFonts w:ascii="Calibri" w:hAnsi="Calibri"/>
                <w:b w:val="0"/>
                <w:i w:val="0"/>
                <w:color w:val="171916"/>
                <w:sz w:val="18"/>
              </w:rPr>
              <w:t>Eliminates product or business risk</w:t>
            </w:r>
          </w:p>
        </w:tc>
      </w:tr>
    </w:tbl>
    <w:p>
      <w:pPr>
        <w:spacing w:after="0"/>
      </w:pPr>
    </w:p>
    <w:p>
      <w:pPr>
        <w:pStyle w:val="Heading2"/>
      </w:pPr>
      <w:r>
        <w:t>Mandatory practices</w:t>
      </w:r>
    </w:p>
    <w:p>
      <w:pPr>
        <w:pStyle w:val="ListBullet"/>
        <w:spacing w:after="80" w:line="288" w:lineRule="auto"/>
      </w:pPr>
      <w:r>
        <w:rPr>
          <w:rFonts w:ascii="Calibri" w:hAnsi="Calibri"/>
          <w:b w:val="0"/>
          <w:i w:val="0"/>
          <w:color w:val="171916"/>
          <w:sz w:val="21"/>
        </w:rPr>
        <w:t>Disclose the affiliate relationship clearly and near the promotional link.</w:t>
      </w:r>
    </w:p>
    <w:p>
      <w:pPr>
        <w:pStyle w:val="ListBullet"/>
        <w:spacing w:after="80" w:line="288" w:lineRule="auto"/>
      </w:pPr>
      <w:r>
        <w:rPr>
          <w:rFonts w:ascii="Calibri" w:hAnsi="Calibri"/>
          <w:b w:val="0"/>
          <w:i w:val="0"/>
          <w:color w:val="171916"/>
          <w:sz w:val="21"/>
        </w:rPr>
        <w:t>Do not fabricate testimonials, screenshots, earnings, countdowns, or bonuses.</w:t>
      </w:r>
    </w:p>
    <w:p>
      <w:pPr>
        <w:pStyle w:val="ListBullet"/>
        <w:spacing w:after="80" w:line="288" w:lineRule="auto"/>
      </w:pPr>
      <w:r>
        <w:rPr>
          <w:rFonts w:ascii="Calibri" w:hAnsi="Calibri"/>
          <w:b w:val="0"/>
          <w:i w:val="0"/>
          <w:color w:val="171916"/>
          <w:sz w:val="21"/>
        </w:rPr>
        <w:t>Do not edit product mockups in a way that implies additional deliverables.</w:t>
      </w:r>
    </w:p>
    <w:p>
      <w:pPr>
        <w:pStyle w:val="ListBullet"/>
        <w:spacing w:after="80" w:line="288" w:lineRule="auto"/>
      </w:pPr>
      <w:r>
        <w:rPr>
          <w:rFonts w:ascii="Calibri" w:hAnsi="Calibri"/>
          <w:b w:val="0"/>
          <w:i w:val="0"/>
          <w:color w:val="171916"/>
          <w:sz w:val="21"/>
        </w:rPr>
        <w:t>Do not bid on brand terms or impersonate the product owner unless written permission is granted.</w:t>
      </w:r>
    </w:p>
    <w:p>
      <w:pPr>
        <w:pStyle w:val="ListBullet"/>
        <w:spacing w:after="80" w:line="288" w:lineRule="auto"/>
      </w:pPr>
      <w:r>
        <w:rPr>
          <w:rFonts w:ascii="Calibri" w:hAnsi="Calibri"/>
          <w:b w:val="0"/>
          <w:i w:val="0"/>
          <w:color w:val="171916"/>
          <w:sz w:val="21"/>
        </w:rPr>
        <w:t>Do not use spam, misleading redirects, fake reviews, or prohibited traffic sources.</w:t>
      </w:r>
    </w:p>
    <w:p>
      <w:pPr>
        <w:pStyle w:val="ListBullet"/>
        <w:spacing w:after="80" w:line="288" w:lineRule="auto"/>
      </w:pPr>
      <w:r>
        <w:rPr>
          <w:rFonts w:ascii="Calibri" w:hAnsi="Calibri"/>
          <w:b w:val="0"/>
          <w:i w:val="0"/>
          <w:color w:val="171916"/>
          <w:sz w:val="21"/>
        </w:rPr>
        <w:t>Use the current sales page and JVZoo-approved affiliate link.</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A7681B"/>
              <w:bottom w:val="single" w:sz="4" w:color="AAA79E"/>
              <w:end w:val="single" w:sz="4" w:color="AAA79E"/>
            </w:tcBorders>
          </w:tcPr>
          <w:p>
            <w:r>
              <w:rPr>
                <w:rFonts w:ascii="Calibri" w:hAnsi="Calibri"/>
                <w:b/>
                <w:i w:val="0"/>
                <w:color w:val="A7681B"/>
                <w:sz w:val="16"/>
              </w:rPr>
              <w:t>INCOME DISCLAIMER</w:t>
            </w:r>
          </w:p>
          <w:p>
            <w:pPr>
              <w:spacing w:after="0"/>
            </w:pPr>
            <w:r>
              <w:rPr>
                <w:rFonts w:ascii="Calibri" w:hAnsi="Calibri"/>
                <w:b w:val="0"/>
                <w:i w:val="0"/>
                <w:color w:val="171916"/>
                <w:sz w:val="21"/>
              </w:rPr>
              <w:t>This product does not provide any guarantee of income or success. Results achieved by any individual are not indicative of future success or earnings.</w:t>
            </w:r>
          </w:p>
        </w:tc>
      </w:tr>
    </w:tbl>
    <w:p>
      <w:pPr>
        <w:spacing w:after="40"/>
      </w:pPr>
    </w:p>
    <w:p>
      <w:r>
        <w:br w:type="page"/>
      </w:r>
    </w:p>
    <w:p>
      <w:pPr>
        <w:spacing w:after="100"/>
      </w:pPr>
      <w:r>
        <w:rPr>
          <w:rFonts w:ascii="Calibri" w:hAnsi="Calibri"/>
          <w:b/>
          <w:i w:val="0"/>
          <w:color w:val="285744"/>
          <w:sz w:val="16"/>
        </w:rPr>
        <w:t>CREATIVE LIBRARY</w:t>
      </w:r>
    </w:p>
    <w:p>
      <w:pPr>
        <w:pStyle w:val="Heading1"/>
      </w:pPr>
      <w:r>
        <w:t>Six creative concepts in four formats - 24 image files</w:t>
      </w:r>
    </w:p>
    <w:p>
      <w:r>
        <w:t>The complete ZIP contains six distinct approved concepts. Each concept is exported in four practical formats: square feed, portrait feed, vertical story/reel, and landscape banner. Use the image as supplied and place your approved JVZoo affiliate link in the caption, button, bio, or destination field.</w:t>
      </w:r>
    </w:p>
    <w:tbl>
      <w:tblPr>
        <w:tblW w:type="dxa" w:w="9360"/>
        <w:jc w:val="left"/>
        <w:tblLayout w:type="fixed"/>
        <w:tblLook w:firstColumn="1" w:firstRow="1" w:lastColumn="0" w:lastRow="0" w:noHBand="0" w:noVBand="1" w:val="04A0"/>
        <w:tblInd w:w="0" w:type="dxa"/>
      </w:tblPr>
      <w:tblGrid>
        <w:gridCol w:w="3120"/>
        <w:gridCol w:w="3120"/>
        <w:gridCol w:w="3120"/>
      </w:tblGrid>
      <w:tr>
        <w:tc>
          <w:tcPr>
            <w:tcW w:type="dxa" w:w="3120"/>
            <w:vAlign w:val="center"/>
            <w:tcMar>
              <w:top w:w="100" w:type="dxa"/>
              <w:start w:w="120" w:type="dxa"/>
              <w:bottom w:w="100" w:type="dxa"/>
              <w:end w:w="120" w:type="dxa"/>
            </w:tcMar>
          </w:tcPr>
          <w:p>
            <w:pPr>
              <w:jc w:val="center"/>
            </w:pPr>
            <w:r>
              <w:drawing>
                <wp:inline xmlns:a="http://schemas.openxmlformats.org/drawingml/2006/main" xmlns:pic="http://schemas.openxmlformats.org/drawingml/2006/picture">
                  <wp:extent cx="1691640" cy="1691640"/>
                  <wp:docPr id="1" name="Picture 1"/>
                  <wp:cNvGraphicFramePr>
                    <a:graphicFrameLocks noChangeAspect="1"/>
                  </wp:cNvGraphicFramePr>
                  <a:graphic>
                    <a:graphicData uri="http://schemas.openxmlformats.org/drawingml/2006/picture">
                      <pic:pic>
                        <pic:nvPicPr>
                          <pic:cNvPr id="0" name="01-ai-speed-trap_square-1080x1080.jpg"/>
                          <pic:cNvPicPr/>
                        </pic:nvPicPr>
                        <pic:blipFill>
                          <a:blip r:embed="rId11"/>
                          <a:stretch>
                            <a:fillRect/>
                          </a:stretch>
                        </pic:blipFill>
                        <pic:spPr>
                          <a:xfrm>
                            <a:off x="0" y="0"/>
                            <a:ext cx="1691640" cy="1691640"/>
                          </a:xfrm>
                          <a:prstGeom prst="rect"/>
                        </pic:spPr>
                      </pic:pic>
                    </a:graphicData>
                  </a:graphic>
                </wp:inline>
              </w:drawing>
            </w:r>
          </w:p>
          <w:p>
            <w:pPr>
              <w:jc w:val="center"/>
            </w:pPr>
            <w:r>
              <w:rPr>
                <w:b/>
              </w:rPr>
              <w:t>AI speed trap</w:t>
            </w:r>
          </w:p>
          <w:p>
            <w:pPr>
              <w:jc w:val="center"/>
            </w:pPr>
            <w:r>
              <w:t>Use with Email 1, Post 1, or Video 1.</w:t>
            </w:r>
          </w:p>
        </w:tc>
        <w:tc>
          <w:tcPr>
            <w:tcW w:type="dxa" w:w="3120"/>
            <w:vAlign w:val="center"/>
            <w:tcMar>
              <w:top w:w="100" w:type="dxa"/>
              <w:start w:w="120" w:type="dxa"/>
              <w:bottom w:w="100" w:type="dxa"/>
              <w:end w:w="120" w:type="dxa"/>
            </w:tcMar>
          </w:tcPr>
          <w:p>
            <w:pPr>
              <w:jc w:val="center"/>
            </w:pPr>
            <w:r>
              <w:drawing>
                <wp:inline xmlns:a="http://schemas.openxmlformats.org/drawingml/2006/main" xmlns:pic="http://schemas.openxmlformats.org/drawingml/2006/picture">
                  <wp:extent cx="1691640" cy="1691640"/>
                  <wp:docPr id="2" name="Picture 2"/>
                  <wp:cNvGraphicFramePr>
                    <a:graphicFrameLocks noChangeAspect="1"/>
                  </wp:cNvGraphicFramePr>
                  <a:graphic>
                    <a:graphicData uri="http://schemas.openxmlformats.org/drawingml/2006/picture">
                      <pic:pic>
                        <pic:nvPicPr>
                          <pic:cNvPr id="0" name="02-60-minute-decision_square-1080x1080.jpg"/>
                          <pic:cNvPicPr/>
                        </pic:nvPicPr>
                        <pic:blipFill>
                          <a:blip r:embed="rId12"/>
                          <a:stretch>
                            <a:fillRect/>
                          </a:stretch>
                        </pic:blipFill>
                        <pic:spPr>
                          <a:xfrm>
                            <a:off x="0" y="0"/>
                            <a:ext cx="1691640" cy="1691640"/>
                          </a:xfrm>
                          <a:prstGeom prst="rect"/>
                        </pic:spPr>
                      </pic:pic>
                    </a:graphicData>
                  </a:graphic>
                </wp:inline>
              </w:drawing>
            </w:r>
          </w:p>
          <w:p>
            <w:pPr>
              <w:jc w:val="center"/>
            </w:pPr>
            <w:r>
              <w:rPr>
                <w:b/>
              </w:rPr>
              <w:t>60-minute decision</w:t>
            </w:r>
          </w:p>
          <w:p>
            <w:pPr>
              <w:jc w:val="center"/>
            </w:pPr>
            <w:r>
              <w:t>Use with Email 4, Post 7, or Video 3.</w:t>
            </w:r>
          </w:p>
        </w:tc>
        <w:tc>
          <w:tcPr>
            <w:tcW w:type="dxa" w:w="3120"/>
            <w:vAlign w:val="center"/>
            <w:tcMar>
              <w:top w:w="100" w:type="dxa"/>
              <w:start w:w="120" w:type="dxa"/>
              <w:bottom w:w="100" w:type="dxa"/>
              <w:end w:w="120" w:type="dxa"/>
            </w:tcMar>
          </w:tcPr>
          <w:p>
            <w:pPr>
              <w:jc w:val="center"/>
            </w:pPr>
            <w:r>
              <w:drawing>
                <wp:inline xmlns:a="http://schemas.openxmlformats.org/drawingml/2006/main" xmlns:pic="http://schemas.openxmlformats.org/drawingml/2006/picture">
                  <wp:extent cx="1691640" cy="1691640"/>
                  <wp:docPr id="3" name="Picture 3"/>
                  <wp:cNvGraphicFramePr>
                    <a:graphicFrameLocks noChangeAspect="1"/>
                  </wp:cNvGraphicFramePr>
                  <a:graphic>
                    <a:graphicData uri="http://schemas.openxmlformats.org/drawingml/2006/picture">
                      <pic:pic>
                        <pic:nvPicPr>
                          <pic:cNvPr id="0" name="03-four-decisions_square-1080x1080.jpg"/>
                          <pic:cNvPicPr/>
                        </pic:nvPicPr>
                        <pic:blipFill>
                          <a:blip r:embed="rId13"/>
                          <a:stretch>
                            <a:fillRect/>
                          </a:stretch>
                        </pic:blipFill>
                        <pic:spPr>
                          <a:xfrm>
                            <a:off x="0" y="0"/>
                            <a:ext cx="1691640" cy="1691640"/>
                          </a:xfrm>
                          <a:prstGeom prst="rect"/>
                        </pic:spPr>
                      </pic:pic>
                    </a:graphicData>
                  </a:graphic>
                </wp:inline>
              </w:drawing>
            </w:r>
          </w:p>
          <w:p>
            <w:pPr>
              <w:jc w:val="center"/>
            </w:pPr>
            <w:r>
              <w:rPr>
                <w:b/>
              </w:rPr>
              <w:t>Four decisions</w:t>
            </w:r>
          </w:p>
          <w:p>
            <w:pPr>
              <w:jc w:val="center"/>
            </w:pPr>
            <w:r>
              <w:t>Use with Email 3, Post 5, or Video 2.</w:t>
            </w:r>
          </w:p>
        </w:tc>
      </w:tr>
      <w:tr>
        <w:tc>
          <w:tcPr>
            <w:tcW w:type="dxa" w:w="3120"/>
            <w:vAlign w:val="center"/>
            <w:tcMar>
              <w:top w:w="100" w:type="dxa"/>
              <w:start w:w="120" w:type="dxa"/>
              <w:bottom w:w="100" w:type="dxa"/>
              <w:end w:w="120" w:type="dxa"/>
            </w:tcMar>
          </w:tcPr>
          <w:p>
            <w:pPr>
              <w:jc w:val="center"/>
            </w:pPr>
            <w:r>
              <w:drawing>
                <wp:inline xmlns:a="http://schemas.openxmlformats.org/drawingml/2006/main" xmlns:pic="http://schemas.openxmlformats.org/drawingml/2006/picture">
                  <wp:extent cx="1691640" cy="1691640"/>
                  <wp:docPr id="4" name="Picture 4"/>
                  <wp:cNvGraphicFramePr>
                    <a:graphicFrameLocks noChangeAspect="1"/>
                  </wp:cNvGraphicFramePr>
                  <a:graphic>
                    <a:graphicData uri="http://schemas.openxmlformats.org/drawingml/2006/picture">
                      <pic:pic>
                        <pic:nvPicPr>
                          <pic:cNvPr id="0" name="04-evidence-over-opinion_square-1080x1080.jpg"/>
                          <pic:cNvPicPr/>
                        </pic:nvPicPr>
                        <pic:blipFill>
                          <a:blip r:embed="rId14"/>
                          <a:stretch>
                            <a:fillRect/>
                          </a:stretch>
                        </pic:blipFill>
                        <pic:spPr>
                          <a:xfrm>
                            <a:off x="0" y="0"/>
                            <a:ext cx="1691640" cy="1691640"/>
                          </a:xfrm>
                          <a:prstGeom prst="rect"/>
                        </pic:spPr>
                      </pic:pic>
                    </a:graphicData>
                  </a:graphic>
                </wp:inline>
              </w:drawing>
            </w:r>
          </w:p>
          <w:p>
            <w:pPr>
              <w:jc w:val="center"/>
            </w:pPr>
            <w:r>
              <w:rPr>
                <w:b/>
              </w:rPr>
              <w:t>Evidence before confidence</w:t>
            </w:r>
          </w:p>
          <w:p>
            <w:pPr>
              <w:jc w:val="center"/>
            </w:pPr>
            <w:r>
              <w:t>Use with Email 2, Post 3, or Post 9.</w:t>
            </w:r>
          </w:p>
        </w:tc>
        <w:tc>
          <w:tcPr>
            <w:tcW w:type="dxa" w:w="3120"/>
            <w:vAlign w:val="center"/>
            <w:tcMar>
              <w:top w:w="100" w:type="dxa"/>
              <w:start w:w="120" w:type="dxa"/>
              <w:bottom w:w="100" w:type="dxa"/>
              <w:end w:w="120" w:type="dxa"/>
            </w:tcMar>
          </w:tcPr>
          <w:p>
            <w:pPr>
              <w:jc w:val="center"/>
            </w:pPr>
            <w:r>
              <w:drawing>
                <wp:inline xmlns:a="http://schemas.openxmlformats.org/drawingml/2006/main" xmlns:pic="http://schemas.openxmlformats.org/drawingml/2006/picture">
                  <wp:extent cx="1691640" cy="1691640"/>
                  <wp:docPr id="5" name="Picture 5"/>
                  <wp:cNvGraphicFramePr>
                    <a:graphicFrameLocks noChangeAspect="1"/>
                  </wp:cNvGraphicFramePr>
                  <a:graphic>
                    <a:graphicData uri="http://schemas.openxmlformats.org/drawingml/2006/picture">
                      <pic:pic>
                        <pic:nvPicPr>
                          <pic:cNvPr id="0" name="05-test-before-build_square-1080x1080.jpg"/>
                          <pic:cNvPicPr/>
                        </pic:nvPicPr>
                        <pic:blipFill>
                          <a:blip r:embed="rId15"/>
                          <a:stretch>
                            <a:fillRect/>
                          </a:stretch>
                        </pic:blipFill>
                        <pic:spPr>
                          <a:xfrm>
                            <a:off x="0" y="0"/>
                            <a:ext cx="1691640" cy="1691640"/>
                          </a:xfrm>
                          <a:prstGeom prst="rect"/>
                        </pic:spPr>
                      </pic:pic>
                    </a:graphicData>
                  </a:graphic>
                </wp:inline>
              </w:drawing>
            </w:r>
          </w:p>
          <w:p>
            <w:pPr>
              <w:jc w:val="center"/>
            </w:pPr>
            <w:r>
              <w:rPr>
                <w:b/>
              </w:rPr>
              <w:t>Test before build</w:t>
            </w:r>
          </w:p>
          <w:p>
            <w:pPr>
              <w:jc w:val="center"/>
            </w:pPr>
            <w:r>
              <w:t>Use with Post 6 and the 48-hour sell-test angle.</w:t>
            </w:r>
          </w:p>
        </w:tc>
        <w:tc>
          <w:tcPr>
            <w:tcW w:type="dxa" w:w="3120"/>
            <w:vAlign w:val="center"/>
            <w:tcMar>
              <w:top w:w="100" w:type="dxa"/>
              <w:start w:w="120" w:type="dxa"/>
              <w:bottom w:w="100" w:type="dxa"/>
              <w:end w:w="120" w:type="dxa"/>
            </w:tcMar>
          </w:tcPr>
          <w:p>
            <w:pPr>
              <w:jc w:val="center"/>
            </w:pPr>
            <w:r>
              <w:drawing>
                <wp:inline xmlns:a="http://schemas.openxmlformats.org/drawingml/2006/main" xmlns:pic="http://schemas.openxmlformats.org/drawingml/2006/picture">
                  <wp:extent cx="1691640" cy="1691640"/>
                  <wp:docPr id="6" name="Picture 6"/>
                  <wp:cNvGraphicFramePr>
                    <a:graphicFrameLocks noChangeAspect="1"/>
                  </wp:cNvGraphicFramePr>
                  <a:graphic>
                    <a:graphicData uri="http://schemas.openxmlformats.org/drawingml/2006/picture">
                      <pic:pic>
                        <pic:nvPicPr>
                          <pic:cNvPr id="0" name="06-signals-not-noise_square-1080x1080.jpg"/>
                          <pic:cNvPicPr/>
                        </pic:nvPicPr>
                        <pic:blipFill>
                          <a:blip r:embed="rId16"/>
                          <a:stretch>
                            <a:fillRect/>
                          </a:stretch>
                        </pic:blipFill>
                        <pic:spPr>
                          <a:xfrm>
                            <a:off x="0" y="0"/>
                            <a:ext cx="1691640" cy="1691640"/>
                          </a:xfrm>
                          <a:prstGeom prst="rect"/>
                        </pic:spPr>
                      </pic:pic>
                    </a:graphicData>
                  </a:graphic>
                </wp:inline>
              </w:drawing>
            </w:r>
          </w:p>
          <w:p>
            <w:pPr>
              <w:jc w:val="center"/>
            </w:pPr>
            <w:r>
              <w:rPr>
                <w:b/>
              </w:rPr>
              <w:t>Signals, not noise</w:t>
            </w:r>
          </w:p>
          <w:p>
            <w:pPr>
              <w:jc w:val="center"/>
            </w:pPr>
            <w:r>
              <w:t>Use with Post 10 and evidence-focused promotion.</w:t>
            </w:r>
          </w:p>
        </w:tc>
      </w:tr>
    </w:tbl>
    <w:p>
      <w:r>
        <w:br w:type="page"/>
      </w:r>
    </w:p>
    <w:p>
      <w:pPr>
        <w:spacing w:after="100"/>
      </w:pPr>
      <w:r>
        <w:rPr>
          <w:rFonts w:ascii="Calibri" w:hAnsi="Calibri"/>
          <w:b/>
          <w:i w:val="0"/>
          <w:color w:val="285744"/>
          <w:sz w:val="16"/>
        </w:rPr>
        <w:t>CREATIVE USAGE</w:t>
      </w:r>
    </w:p>
    <w:p>
      <w:pPr>
        <w:pStyle w:val="Heading1"/>
      </w:pPr>
      <w:r>
        <w:t>Choose the format for the placement</w:t>
      </w:r>
    </w:p>
    <w:tbl>
      <w:tblPr>
        <w:tblW w:type="dxa" w:w="9360"/>
        <w:jc w:val="left"/>
        <w:tblLayout w:type="fixed"/>
        <w:tblLook w:firstColumn="1" w:firstRow="1" w:lastColumn="0" w:lastRow="0" w:noHBand="0" w:noVBand="1" w:val="04A0"/>
        <w:tblInd w:w="120" w:type="dxa"/>
      </w:tblPr>
      <w:tblGrid>
        <w:gridCol w:w="2100"/>
        <w:gridCol w:w="1800"/>
        <w:gridCol w:w="5460"/>
      </w:tblGrid>
      <w:tr>
        <w:trPr>
          <w:tblHeader w:val="true"/>
        </w:trPr>
        <w:tc>
          <w:tcPr>
            <w:tcW w:type="dxa" w:w="2100"/>
            <w:vAlign w:val="center"/>
            <w:tcMar>
              <w:top w:w="100" w:type="dxa"/>
              <w:start w:w="120" w:type="dxa"/>
              <w:bottom w:w="100" w:type="dxa"/>
              <w:end w:w="120" w:type="dxa"/>
            </w:tcMar>
            <w:shd w:fill="173B2D"/>
          </w:tcPr>
          <w:p>
            <w:pPr>
              <w:jc w:val="left"/>
            </w:pPr>
            <w:r>
              <w:rPr>
                <w:rFonts w:ascii="Calibri" w:hAnsi="Calibri"/>
                <w:b/>
                <w:i w:val="0"/>
                <w:color w:val="FFFFFF"/>
                <w:sz w:val="17"/>
              </w:rPr>
              <w:t>Format</w:t>
            </w:r>
          </w:p>
        </w:tc>
        <w:tc>
          <w:tcPr>
            <w:tcW w:type="dxa" w:w="1800"/>
            <w:vAlign w:val="center"/>
            <w:tcMar>
              <w:top w:w="100" w:type="dxa"/>
              <w:start w:w="120" w:type="dxa"/>
              <w:bottom w:w="100" w:type="dxa"/>
              <w:end w:w="120" w:type="dxa"/>
            </w:tcMar>
            <w:shd w:fill="173B2D"/>
          </w:tcPr>
          <w:p>
            <w:pPr>
              <w:jc w:val="left"/>
            </w:pPr>
            <w:r>
              <w:rPr>
                <w:rFonts w:ascii="Calibri" w:hAnsi="Calibri"/>
                <w:b/>
                <w:i w:val="0"/>
                <w:color w:val="FFFFFF"/>
                <w:sz w:val="17"/>
              </w:rPr>
              <w:t>Dimensions</w:t>
            </w:r>
          </w:p>
        </w:tc>
        <w:tc>
          <w:tcPr>
            <w:tcW w:type="dxa" w:w="5460"/>
            <w:vAlign w:val="center"/>
            <w:tcMar>
              <w:top w:w="100" w:type="dxa"/>
              <w:start w:w="120" w:type="dxa"/>
              <w:bottom w:w="100" w:type="dxa"/>
              <w:end w:w="120" w:type="dxa"/>
            </w:tcMar>
            <w:shd w:fill="173B2D"/>
          </w:tcPr>
          <w:p>
            <w:pPr>
              <w:jc w:val="left"/>
            </w:pPr>
            <w:r>
              <w:rPr>
                <w:rFonts w:ascii="Calibri" w:hAnsi="Calibri"/>
                <w:b/>
                <w:i w:val="0"/>
                <w:color w:val="FFFFFF"/>
                <w:sz w:val="17"/>
              </w:rPr>
              <w:t>Recommended placement</w:t>
            </w:r>
          </w:p>
        </w:tc>
      </w:tr>
      <w:tr>
        <w:tc>
          <w:tcPr>
            <w:tcW w:type="dxa" w:w="2100"/>
            <w:tcBorders>
              <w:bottom w:val="single" w:sz="4" w:color="AAA79E"/>
            </w:tcBorders>
          </w:tcPr>
          <w:p>
            <w:pPr>
              <w:jc w:val="left"/>
            </w:pPr>
            <w:r>
              <w:rPr>
                <w:rFonts w:ascii="Calibri" w:hAnsi="Calibri"/>
                <w:b w:val="0"/>
                <w:i w:val="0"/>
                <w:color w:val="171916"/>
                <w:sz w:val="18"/>
              </w:rPr>
              <w:t>Square feed</w:t>
            </w:r>
          </w:p>
        </w:tc>
        <w:tc>
          <w:tcPr>
            <w:tcW w:type="dxa" w:w="1800"/>
            <w:tcBorders>
              <w:bottom w:val="single" w:sz="4" w:color="AAA79E"/>
            </w:tcBorders>
          </w:tcPr>
          <w:p>
            <w:pPr>
              <w:jc w:val="left"/>
            </w:pPr>
            <w:r>
              <w:rPr>
                <w:rFonts w:ascii="Calibri" w:hAnsi="Calibri"/>
                <w:b w:val="0"/>
                <w:i w:val="0"/>
                <w:color w:val="171916"/>
                <w:sz w:val="18"/>
              </w:rPr>
              <w:t>1080 x 1080</w:t>
            </w:r>
          </w:p>
        </w:tc>
        <w:tc>
          <w:tcPr>
            <w:tcW w:type="dxa" w:w="5460"/>
            <w:tcBorders>
              <w:bottom w:val="single" w:sz="4" w:color="AAA79E"/>
            </w:tcBorders>
          </w:tcPr>
          <w:p>
            <w:pPr>
              <w:jc w:val="left"/>
            </w:pPr>
            <w:r>
              <w:rPr>
                <w:rFonts w:ascii="Calibri" w:hAnsi="Calibri"/>
                <w:b w:val="0"/>
                <w:i w:val="0"/>
                <w:color w:val="171916"/>
                <w:sz w:val="18"/>
              </w:rPr>
              <w:t>Instagram feed, Facebook feed, LinkedIn, community posts</w:t>
            </w:r>
          </w:p>
        </w:tc>
      </w:tr>
      <w:tr>
        <w:tc>
          <w:tcPr>
            <w:tcW w:type="dxa" w:w="2100"/>
            <w:shd w:fill="FAF7EF"/>
            <w:tcBorders>
              <w:bottom w:val="single" w:sz="4" w:color="AAA79E"/>
            </w:tcBorders>
          </w:tcPr>
          <w:p>
            <w:pPr>
              <w:jc w:val="left"/>
            </w:pPr>
            <w:r>
              <w:rPr>
                <w:rFonts w:ascii="Calibri" w:hAnsi="Calibri"/>
                <w:b w:val="0"/>
                <w:i w:val="0"/>
                <w:color w:val="171916"/>
                <w:sz w:val="18"/>
              </w:rPr>
              <w:t>Portrait feed</w:t>
            </w:r>
          </w:p>
        </w:tc>
        <w:tc>
          <w:tcPr>
            <w:tcW w:type="dxa" w:w="1800"/>
            <w:shd w:fill="FAF7EF"/>
            <w:tcBorders>
              <w:bottom w:val="single" w:sz="4" w:color="AAA79E"/>
            </w:tcBorders>
          </w:tcPr>
          <w:p>
            <w:pPr>
              <w:jc w:val="left"/>
            </w:pPr>
            <w:r>
              <w:rPr>
                <w:rFonts w:ascii="Calibri" w:hAnsi="Calibri"/>
                <w:b w:val="0"/>
                <w:i w:val="0"/>
                <w:color w:val="171916"/>
                <w:sz w:val="18"/>
              </w:rPr>
              <w:t>1080 x 1350</w:t>
            </w:r>
          </w:p>
        </w:tc>
        <w:tc>
          <w:tcPr>
            <w:tcW w:type="dxa" w:w="5460"/>
            <w:shd w:fill="FAF7EF"/>
            <w:tcBorders>
              <w:bottom w:val="single" w:sz="4" w:color="AAA79E"/>
            </w:tcBorders>
          </w:tcPr>
          <w:p>
            <w:pPr>
              <w:jc w:val="left"/>
            </w:pPr>
            <w:r>
              <w:rPr>
                <w:rFonts w:ascii="Calibri" w:hAnsi="Calibri"/>
                <w:b w:val="0"/>
                <w:i w:val="0"/>
                <w:color w:val="171916"/>
                <w:sz w:val="18"/>
              </w:rPr>
              <w:t>Instagram feed and mobile-first social posts</w:t>
            </w:r>
          </w:p>
        </w:tc>
      </w:tr>
      <w:tr>
        <w:tc>
          <w:tcPr>
            <w:tcW w:type="dxa" w:w="2100"/>
            <w:tcBorders>
              <w:bottom w:val="single" w:sz="4" w:color="AAA79E"/>
            </w:tcBorders>
          </w:tcPr>
          <w:p>
            <w:pPr>
              <w:jc w:val="left"/>
            </w:pPr>
            <w:r>
              <w:rPr>
                <w:rFonts w:ascii="Calibri" w:hAnsi="Calibri"/>
                <w:b w:val="0"/>
                <w:i w:val="0"/>
                <w:color w:val="171916"/>
                <w:sz w:val="18"/>
              </w:rPr>
              <w:t>Story / reel</w:t>
            </w:r>
          </w:p>
        </w:tc>
        <w:tc>
          <w:tcPr>
            <w:tcW w:type="dxa" w:w="1800"/>
            <w:tcBorders>
              <w:bottom w:val="single" w:sz="4" w:color="AAA79E"/>
            </w:tcBorders>
          </w:tcPr>
          <w:p>
            <w:pPr>
              <w:jc w:val="left"/>
            </w:pPr>
            <w:r>
              <w:rPr>
                <w:rFonts w:ascii="Calibri" w:hAnsi="Calibri"/>
                <w:b w:val="0"/>
                <w:i w:val="0"/>
                <w:color w:val="171916"/>
                <w:sz w:val="18"/>
              </w:rPr>
              <w:t>1080 x 1920</w:t>
            </w:r>
          </w:p>
        </w:tc>
        <w:tc>
          <w:tcPr>
            <w:tcW w:type="dxa" w:w="5460"/>
            <w:tcBorders>
              <w:bottom w:val="single" w:sz="4" w:color="AAA79E"/>
            </w:tcBorders>
          </w:tcPr>
          <w:p>
            <w:pPr>
              <w:jc w:val="left"/>
            </w:pPr>
            <w:r>
              <w:rPr>
                <w:rFonts w:ascii="Calibri" w:hAnsi="Calibri"/>
                <w:b w:val="0"/>
                <w:i w:val="0"/>
                <w:color w:val="171916"/>
                <w:sz w:val="18"/>
              </w:rPr>
              <w:t>Instagram Stories, Facebook Stories, Reels cover, vertical placements</w:t>
            </w:r>
          </w:p>
        </w:tc>
      </w:tr>
      <w:tr>
        <w:tc>
          <w:tcPr>
            <w:tcW w:type="dxa" w:w="2100"/>
            <w:shd w:fill="FAF7EF"/>
            <w:tcBorders>
              <w:bottom w:val="single" w:sz="4" w:color="AAA79E"/>
            </w:tcBorders>
          </w:tcPr>
          <w:p>
            <w:pPr>
              <w:jc w:val="left"/>
            </w:pPr>
            <w:r>
              <w:rPr>
                <w:rFonts w:ascii="Calibri" w:hAnsi="Calibri"/>
                <w:b w:val="0"/>
                <w:i w:val="0"/>
                <w:color w:val="171916"/>
                <w:sz w:val="18"/>
              </w:rPr>
              <w:t>Landscape banner</w:t>
            </w:r>
          </w:p>
        </w:tc>
        <w:tc>
          <w:tcPr>
            <w:tcW w:type="dxa" w:w="1800"/>
            <w:shd w:fill="FAF7EF"/>
            <w:tcBorders>
              <w:bottom w:val="single" w:sz="4" w:color="AAA79E"/>
            </w:tcBorders>
          </w:tcPr>
          <w:p>
            <w:pPr>
              <w:jc w:val="left"/>
            </w:pPr>
            <w:r>
              <w:rPr>
                <w:rFonts w:ascii="Calibri" w:hAnsi="Calibri"/>
                <w:b w:val="0"/>
                <w:i w:val="0"/>
                <w:color w:val="171916"/>
                <w:sz w:val="18"/>
              </w:rPr>
              <w:t>1200 x 628</w:t>
            </w:r>
          </w:p>
        </w:tc>
        <w:tc>
          <w:tcPr>
            <w:tcW w:type="dxa" w:w="5460"/>
            <w:shd w:fill="FAF7EF"/>
            <w:tcBorders>
              <w:bottom w:val="single" w:sz="4" w:color="AAA79E"/>
            </w:tcBorders>
          </w:tcPr>
          <w:p>
            <w:pPr>
              <w:jc w:val="left"/>
            </w:pPr>
            <w:r>
              <w:rPr>
                <w:rFonts w:ascii="Calibri" w:hAnsi="Calibri"/>
                <w:b w:val="0"/>
                <w:i w:val="0"/>
                <w:color w:val="171916"/>
                <w:sz w:val="18"/>
              </w:rPr>
              <w:t>Facebook link posts, blog banners, email graphics, display placements</w:t>
            </w:r>
          </w:p>
        </w:tc>
      </w:tr>
    </w:tbl>
    <w:p>
      <w:pPr>
        <w:spacing w:after="0"/>
      </w:pPr>
    </w:p>
    <w:p>
      <w:pPr>
        <w:pStyle w:val="ListBullet"/>
        <w:spacing w:after="80" w:line="288" w:lineRule="auto"/>
      </w:pPr>
      <w:r>
        <w:rPr>
          <w:rFonts w:ascii="Calibri" w:hAnsi="Calibri"/>
          <w:b w:val="0"/>
          <w:i w:val="0"/>
          <w:color w:val="171916"/>
          <w:sz w:val="21"/>
        </w:rPr>
        <w:t>Do not crop away the Product Greenlight name, disclosure line, or product cover.</w:t>
      </w:r>
    </w:p>
    <w:p>
      <w:pPr>
        <w:pStyle w:val="ListBullet"/>
        <w:spacing w:after="80" w:line="288" w:lineRule="auto"/>
      </w:pPr>
      <w:r>
        <w:rPr>
          <w:rFonts w:ascii="Calibri" w:hAnsi="Calibri"/>
          <w:b w:val="0"/>
          <w:i w:val="0"/>
          <w:color w:val="171916"/>
          <w:sz w:val="21"/>
        </w:rPr>
        <w:t>Do not add earnings claims, guarantees, fake testimonials, or unsupported urgency.</w:t>
      </w:r>
    </w:p>
    <w:p>
      <w:pPr>
        <w:pStyle w:val="ListBullet"/>
        <w:spacing w:after="80" w:line="288" w:lineRule="auto"/>
      </w:pPr>
      <w:r>
        <w:rPr>
          <w:rFonts w:ascii="Calibri" w:hAnsi="Calibri"/>
          <w:b w:val="0"/>
          <w:i w:val="0"/>
          <w:color w:val="171916"/>
          <w:sz w:val="21"/>
        </w:rPr>
        <w:t>Keep the disclosure near the affiliate link in the surrounding post or caption.</w:t>
      </w:r>
    </w:p>
    <w:p>
      <w:pPr>
        <w:pStyle w:val="ListBullet"/>
        <w:spacing w:after="80" w:line="288" w:lineRule="auto"/>
      </w:pPr>
      <w:r>
        <w:rPr>
          <w:rFonts w:ascii="Calibri" w:hAnsi="Calibri"/>
          <w:b w:val="0"/>
          <w:i w:val="0"/>
          <w:color w:val="171916"/>
          <w:sz w:val="21"/>
        </w:rPr>
        <w:t>Use only the current sales page and your approved JVZoo affiliate link.</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AFFILIATE-ONLY SCOPE</w:t>
            </w:r>
          </w:p>
          <w:p>
            <w:pPr>
              <w:spacing w:after="0"/>
            </w:pPr>
            <w:r>
              <w:rPr>
                <w:rFonts w:ascii="Calibri" w:hAnsi="Calibri"/>
                <w:b w:val="0"/>
                <w:i w:val="0"/>
                <w:color w:val="171916"/>
                <w:sz w:val="21"/>
              </w:rPr>
              <w:t>This public kit contains only materials an affiliate needs to understand, present, and promote the offer responsibly.</w:t>
            </w:r>
          </w:p>
        </w:tc>
      </w:tr>
    </w:tbl>
    <w:p>
      <w:pPr>
        <w:spacing w:after="40"/>
      </w:pPr>
    </w:p>
    <w:p>
      <w:r>
        <w:br w:type="page"/>
      </w:r>
    </w:p>
    <w:p>
      <w:pPr>
        <w:spacing w:after="100"/>
      </w:pPr>
      <w:r>
        <w:rPr>
          <w:rFonts w:ascii="Calibri" w:hAnsi="Calibri"/>
          <w:b/>
          <w:i w:val="0"/>
          <w:color w:val="285744"/>
          <w:sz w:val="16"/>
        </w:rPr>
        <w:t>USEFUL LINKS</w:t>
      </w:r>
    </w:p>
    <w:p>
      <w:pPr>
        <w:pStyle w:val="Heading1"/>
      </w:pPr>
      <w:r>
        <w:t>Current product and platform references</w:t>
      </w:r>
    </w:p>
    <w:p>
      <w:pPr>
        <w:pStyle w:val="ListBullet"/>
      </w:pPr>
      <w:hyperlink r:id="rId17">
        <w:r>
          <w:rPr>
            <w:color w:val="688FA5"/>
            <w:u w:val="single"/>
          </w:rPr>
          <w:t>Product Greenlight sales page</w:t>
        </w:r>
      </w:hyperlink>
    </w:p>
    <w:p>
      <w:pPr>
        <w:pStyle w:val="ListBullet"/>
      </w:pPr>
      <w:hyperlink r:id="rId18">
        <w:r>
          <w:rPr>
            <w:color w:val="688FA5"/>
            <w:u w:val="single"/>
          </w:rPr>
          <w:t>Product Greenlight affiliate page</w:t>
        </w:r>
      </w:hyperlink>
    </w:p>
    <w:p>
      <w:pPr>
        <w:pStyle w:val="ListBullet"/>
      </w:pPr>
      <w:hyperlink r:id="rId19">
        <w:r>
          <w:rPr>
            <w:color w:val="688FA5"/>
            <w:u w:val="single"/>
          </w:rPr>
          <w:t>Affiliate support</w:t>
        </w:r>
      </w:hyperlink>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AF7EF"/>
            <w:tcBorders>
              <w:top w:val="single" w:sz="4" w:color="AAA79E"/>
              <w:start w:val="single" w:sz="20" w:color="688FA5"/>
              <w:bottom w:val="single" w:sz="4" w:color="AAA79E"/>
              <w:end w:val="single" w:sz="4" w:color="AAA79E"/>
            </w:tcBorders>
          </w:tcPr>
          <w:p>
            <w:r>
              <w:rPr>
                <w:rFonts w:ascii="Calibri" w:hAnsi="Calibri"/>
                <w:b/>
                <w:i w:val="0"/>
                <w:color w:val="688FA5"/>
                <w:sz w:val="16"/>
              </w:rPr>
              <w:t>AFFILIATE HANDOFF</w:t>
            </w:r>
          </w:p>
          <w:p>
            <w:pPr>
              <w:spacing w:after="0"/>
            </w:pPr>
            <w:r>
              <w:rPr>
                <w:rFonts w:ascii="Calibri" w:hAnsi="Calibri"/>
                <w:b w:val="0"/>
                <w:i w:val="0"/>
                <w:color w:val="171916"/>
                <w:sz w:val="21"/>
              </w:rPr>
              <w:t>Use the current sales page and replace every link placeholder with your own approved JVZoo affiliate link. Contact support if you need clarification before publishing.</w:t>
            </w:r>
          </w:p>
        </w:tc>
      </w:tr>
    </w:tbl>
    <w:p>
      <w:pPr>
        <w:spacing w:after="40"/>
      </w:pP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b w:val="0"/>
        <w:i w:val="0"/>
        <w:color w:val="5D615B"/>
        <w:sz w:val="17"/>
      </w:rPr>
      <w:t xml:space="preserve">PAGE </w:t>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i w:val="0"/>
        <w:color w:val="5D615B"/>
        <w:sz w:val="17"/>
      </w:rPr>
      <w:t>AFFILIATE PROMOTION KIT</w:t>
    </w:r>
    <w:r>
      <w:t xml:space="preserve">   |   </w:t>
    </w:r>
    <w:r>
      <w:rPr>
        <w:rFonts w:ascii="Calibri" w:hAnsi="Calibri"/>
        <w:b/>
        <w:i w:val="0"/>
        <w:color w:val="285744"/>
        <w:sz w:val="17"/>
      </w:rPr>
      <w:t>PRODUCT GREENLIGHT SYSTEM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71916"/>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85744"/>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85744"/>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73B2D"/>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60" w:line="240" w:lineRule="auto" w:before="0"/>
      <w:contextualSpacing/>
    </w:pPr>
    <w:rPr>
      <w:rFonts w:asciiTheme="majorHAnsi" w:eastAsiaTheme="majorEastAsia" w:hAnsiTheme="majorHAnsi" w:cstheme="majorBidi" w:ascii="Calibri" w:hAnsi="Calibri"/>
      <w:color w:val="171916"/>
      <w:spacing w:val="5"/>
      <w:kern w:val="28"/>
      <w:sz w:val="6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0" w:after="360"/>
    </w:pPr>
    <w:rPr>
      <w:rFonts w:asciiTheme="majorHAnsi" w:eastAsiaTheme="majorEastAsia" w:hAnsiTheme="majorHAnsi" w:cstheme="majorBidi" w:ascii="Calibri" w:hAnsi="Calibri"/>
      <w:i/>
      <w:iCs/>
      <w:color w:val="5D615B"/>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jpg"/><Relationship Id="rId12" Type="http://schemas.openxmlformats.org/officeDocument/2006/relationships/image" Target="media/image2.jpg"/><Relationship Id="rId13" Type="http://schemas.openxmlformats.org/officeDocument/2006/relationships/image" Target="media/image3.jpg"/><Relationship Id="rId14" Type="http://schemas.openxmlformats.org/officeDocument/2006/relationships/image" Target="media/image4.jpg"/><Relationship Id="rId15" Type="http://schemas.openxmlformats.org/officeDocument/2006/relationships/image" Target="media/image5.jpg"/><Relationship Id="rId16" Type="http://schemas.openxmlformats.org/officeDocument/2006/relationships/image" Target="media/image6.jpg"/><Relationship Id="rId17" Type="http://schemas.openxmlformats.org/officeDocument/2006/relationships/hyperlink" Target="https://productgreenlightsystem.com" TargetMode="External"/><Relationship Id="rId18" Type="http://schemas.openxmlformats.org/officeDocument/2006/relationships/hyperlink" Target="https://productgreenlightsystem.com/affiliates" TargetMode="External"/><Relationship Id="rId19" Type="http://schemas.openxmlformats.org/officeDocument/2006/relationships/hyperlink" Target="mailto:support@productgreenlightsyste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Greenlight System - Affiliate Promotion Kit</dc:title>
  <dc:subject>Product Greenlight System operator asset</dc:subject>
  <dc:creator>Product Greenlight System</dc:creator>
  <cp:keywords/>
  <dc:description>generated by python-docx</dc:description>
  <cp:lastModifiedBy/>
  <cp:revision>1</cp:revision>
  <dcterms:created xsi:type="dcterms:W3CDTF">2013-12-23T23:15:00Z</dcterms:created>
  <dcterms:modified xsi:type="dcterms:W3CDTF">2013-12-23T23:15:00Z</dcterms:modified>
  <cp:category/>
</cp:coreProperties>
</file>